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华文新魏" w:hAnsi="华文新魏" w:eastAsia="华文新魏" w:cs="华文新魏"/>
          <w:b/>
          <w:i w:val="0"/>
          <w:iCs w:val="0"/>
          <w:color w:val="FF0000"/>
          <w:sz w:val="44"/>
          <w:szCs w:val="44"/>
        </w:rPr>
      </w:pPr>
      <w:r>
        <w:rPr>
          <w:rFonts w:hint="eastAsia" w:ascii="华文新魏" w:hAnsi="华文新魏" w:eastAsia="华文新魏" w:cs="华文新魏"/>
          <w:b/>
          <w:i w:val="0"/>
          <w:iCs w:val="0"/>
          <w:color w:val="FF0000"/>
          <w:sz w:val="44"/>
          <w:szCs w:val="44"/>
          <w:lang w:val="en-US" w:eastAsia="zh-CN"/>
        </w:rPr>
        <w:t>骑马擒牛财富倍增实战特训营</w:t>
      </w:r>
    </w:p>
    <w:p>
      <w:pPr>
        <w:rPr>
          <w:rFonts w:hint="eastAsia"/>
          <w:b/>
          <w:bCs/>
          <w:color w:val="FF0000"/>
          <w:sz w:val="24"/>
        </w:rPr>
      </w:pPr>
      <w:r>
        <w:rPr>
          <w:rFonts w:hint="eastAsia" w:ascii="方正大黑简体" w:hAnsi="方正大黑简体" w:eastAsia="方正大黑简体" w:cs="方正大黑简体"/>
          <w:b/>
          <w:bCs/>
          <w:i w:val="0"/>
          <w:iCs w:val="0"/>
          <w:color w:val="FF0000"/>
          <w:sz w:val="32"/>
          <w:szCs w:val="32"/>
          <w:lang w:eastAsia="zh-CN"/>
        </w:rPr>
        <w:t>【</w:t>
      </w:r>
      <w:r>
        <w:rPr>
          <w:rFonts w:hint="eastAsia" w:ascii="方正大黑简体" w:hAnsi="方正大黑简体" w:eastAsia="方正大黑简体" w:cs="方正大黑简体"/>
          <w:b/>
          <w:bCs/>
          <w:i w:val="0"/>
          <w:iCs w:val="0"/>
          <w:color w:val="FF0000"/>
          <w:sz w:val="32"/>
          <w:szCs w:val="32"/>
        </w:rPr>
        <w:t>项目</w:t>
      </w:r>
      <w:r>
        <w:rPr>
          <w:rFonts w:hint="eastAsia" w:ascii="方正大黑简体" w:hAnsi="方正大黑简体" w:eastAsia="方正大黑简体" w:cs="方正大黑简体"/>
          <w:b/>
          <w:bCs/>
          <w:i w:val="0"/>
          <w:iCs w:val="0"/>
          <w:color w:val="FF0000"/>
          <w:sz w:val="32"/>
          <w:szCs w:val="32"/>
          <w:lang w:val="en-US" w:eastAsia="zh-CN"/>
        </w:rPr>
        <w:t>寄语</w:t>
      </w:r>
      <w:r>
        <w:rPr>
          <w:rFonts w:hint="eastAsia" w:ascii="方正大黑简体" w:hAnsi="方正大黑简体" w:eastAsia="方正大黑简体" w:cs="方正大黑简体"/>
          <w:b/>
          <w:bCs/>
          <w:i w:val="0"/>
          <w:iCs w:val="0"/>
          <w:color w:val="FF0000"/>
          <w:sz w:val="32"/>
          <w:szCs w:val="32"/>
          <w:lang w:eastAsia="zh-CN"/>
        </w:rPr>
        <w:t>】</w:t>
      </w:r>
    </w:p>
    <w:p>
      <w:pPr>
        <w:spacing w:line="360" w:lineRule="auto"/>
        <w:ind w:firstLine="482" w:firstLineChars="200"/>
        <w:rPr>
          <w:rFonts w:hint="eastAsia" w:ascii="方正大黑简体" w:hAnsi="方正大黑简体" w:eastAsia="方正大黑简体" w:cs="方正大黑简体"/>
          <w:b/>
          <w:bCs/>
          <w:i w:val="0"/>
          <w:iCs w:val="0"/>
          <w:color w:val="0D0D0D" w:themeColor="text1" w:themeTint="F2"/>
          <w:sz w:val="32"/>
          <w:szCs w:val="32"/>
          <w:lang w:eastAsia="zh-CN"/>
          <w14:textFill>
            <w14:solidFill>
              <w14:schemeClr w14:val="tx1">
                <w14:lumMod w14:val="95000"/>
                <w14:lumOff w14:val="5000"/>
              </w14:schemeClr>
            </w14:solidFill>
          </w14:textFill>
        </w:rPr>
      </w:pPr>
      <w:r>
        <w:rPr>
          <w:rFonts w:hint="eastAsia"/>
          <w:b/>
          <w:bCs/>
          <w:color w:val="0D0D0D" w:themeColor="text1" w:themeTint="F2"/>
          <w:sz w:val="24"/>
          <w:lang w:val="en-US" w:eastAsia="zh-CN"/>
          <w14:textFill>
            <w14:solidFill>
              <w14:schemeClr w14:val="tx1">
                <w14:lumMod w14:val="95000"/>
                <w14:lumOff w14:val="5000"/>
              </w14:schemeClr>
            </w14:solidFill>
          </w14:textFill>
        </w:rPr>
        <w:t>两天实战案例教学，三个月实战精心辅导，有鱼更有渔，寻找投资逻辑，把握市场风云变幻机会，为本次实战计划树立投资信心，告别亏损，稳健盈利，建立适合中小投资者稳健的投资模式，物超所值，财富倍增。骑马擒牛实战特训营以提升中国投资者交易水平为使命，从而提升家庭幸福指数，拯救万千受害家庭，如果你还学不会，不赚钱，建议销户</w:t>
      </w:r>
      <w:r>
        <w:rPr>
          <w:rFonts w:hint="eastAsia"/>
          <w:b/>
          <w:bCs/>
          <w:color w:val="0D0D0D" w:themeColor="text1" w:themeTint="F2"/>
          <w:sz w:val="24"/>
          <w14:textFill>
            <w14:solidFill>
              <w14:schemeClr w14:val="tx1">
                <w14:lumMod w14:val="95000"/>
                <w14:lumOff w14:val="5000"/>
              </w14:schemeClr>
            </w14:solidFill>
          </w14:textFill>
        </w:rPr>
        <w:t>。</w:t>
      </w:r>
    </w:p>
    <w:p>
      <w:pPr>
        <w:rPr>
          <w:rFonts w:hint="eastAsia" w:ascii="方正大黑简体" w:hAnsi="方正大黑简体" w:eastAsia="方正大黑简体" w:cs="方正大黑简体"/>
          <w:b/>
          <w:bCs/>
          <w:i w:val="0"/>
          <w:iCs w:val="0"/>
          <w:color w:val="FF0000"/>
          <w:sz w:val="32"/>
          <w:szCs w:val="32"/>
          <w:lang w:eastAsia="zh-CN"/>
        </w:rPr>
      </w:pPr>
      <w:r>
        <w:rPr>
          <w:rFonts w:hint="eastAsia" w:ascii="方正大黑简体" w:hAnsi="方正大黑简体" w:eastAsia="方正大黑简体" w:cs="方正大黑简体"/>
          <w:b/>
          <w:bCs/>
          <w:i w:val="0"/>
          <w:iCs w:val="0"/>
          <w:color w:val="FF0000"/>
          <w:sz w:val="32"/>
          <w:szCs w:val="32"/>
          <w:lang w:eastAsia="zh-CN"/>
        </w:rPr>
        <w:t>【项目背景】</w:t>
      </w:r>
      <w:r>
        <w:rPr>
          <w:rFonts w:hint="eastAsia" w:ascii="方正大黑简体" w:hAnsi="方正大黑简体" w:eastAsia="方正大黑简体" w:cs="方正大黑简体"/>
          <w:b/>
          <w:bCs/>
          <w:i w:val="0"/>
          <w:iCs w:val="0"/>
          <w:color w:val="FF0000"/>
          <w:sz w:val="32"/>
          <w:szCs w:val="32"/>
          <w:lang w:eastAsia="zh-CN"/>
        </w:rPr>
        <w:drawing>
          <wp:anchor distT="0" distB="0" distL="114300" distR="114300" simplePos="0" relativeHeight="252749824" behindDoc="1" locked="0" layoutInCell="1" allowOverlap="1">
            <wp:simplePos x="0" y="0"/>
            <wp:positionH relativeFrom="column">
              <wp:posOffset>-10795</wp:posOffset>
            </wp:positionH>
            <wp:positionV relativeFrom="paragraph">
              <wp:posOffset>468630</wp:posOffset>
            </wp:positionV>
            <wp:extent cx="6256655" cy="4659630"/>
            <wp:effectExtent l="0" t="0" r="10795" b="7620"/>
            <wp:wrapNone/>
            <wp:docPr id="3" name="图片 3" descr="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特训"/>
                    <pic:cNvPicPr>
                      <a:picLocks noChangeAspect="1"/>
                    </pic:cNvPicPr>
                  </pic:nvPicPr>
                  <pic:blipFill>
                    <a:blip r:embed="rId6">
                      <a:lum contrast="-54000"/>
                    </a:blip>
                    <a:srcRect l="-193" r="181" b="30423"/>
                    <a:stretch>
                      <a:fillRect/>
                    </a:stretch>
                  </pic:blipFill>
                  <pic:spPr>
                    <a:xfrm>
                      <a:off x="0" y="0"/>
                      <a:ext cx="6256655" cy="4659630"/>
                    </a:xfrm>
                    <a:prstGeom prst="rect">
                      <a:avLst/>
                    </a:prstGeom>
                  </pic:spPr>
                </pic:pic>
              </a:graphicData>
            </a:graphic>
          </wp:anchor>
        </w:drawing>
      </w:r>
    </w:p>
    <w:p>
      <w:pPr>
        <w:spacing w:line="480" w:lineRule="auto"/>
        <w:ind w:firstLine="480" w:firstLineChars="200"/>
        <w:rPr>
          <w:rFonts w:hint="eastAsia"/>
          <w:sz w:val="24"/>
          <w:lang w:val="en-US" w:eastAsia="zh-CN"/>
        </w:rPr>
      </w:pPr>
      <w:r>
        <w:rPr>
          <w:rFonts w:hint="eastAsia"/>
          <w:sz w:val="24"/>
          <w:lang w:val="en-US" w:eastAsia="zh-CN"/>
        </w:rPr>
        <w:t>中国资本市场发展二十多年，即将迎来而立，随着我国改革取得巨大成就的发展，资本市场的繁荣也将成为大国到强国的支撑点，一带一路的倡议，央企国企改革及混合所有制改革的深入，都需要资本市场的繁荣发展及储蓄向资本的流转。而目前，沪港通深港通沪伦通以及A股成功纳入MSCI指数，都标志着未来A股的全球流通。我们现在迈出国门的企业无论是生产制造还是智慧输出都将带来立足国门走向全球发展的伟大公司，科技的创新与回归也直接为我国带来新的中流力量，这一切都预示着未来的中国将更加繁荣，中共的资本市场的国际化充满了投资价值，国外资本垂涎三尺翘首以盼更加开放的投资政策。</w:t>
      </w:r>
      <w:r>
        <w:rPr>
          <w:rFonts w:hint="eastAsia"/>
          <w:b/>
          <w:bCs/>
          <w:color w:val="FF0000"/>
          <w:sz w:val="24"/>
          <w:lang w:val="en-US" w:eastAsia="zh-CN"/>
        </w:rPr>
        <w:t>（市场健康，牛市可期）</w:t>
      </w:r>
    </w:p>
    <w:p>
      <w:pPr>
        <w:spacing w:line="480" w:lineRule="auto"/>
        <w:ind w:firstLine="480" w:firstLineChars="200"/>
        <w:rPr>
          <w:rFonts w:hint="eastAsia"/>
          <w:sz w:val="24"/>
          <w:lang w:val="en-US" w:eastAsia="zh-CN"/>
        </w:rPr>
      </w:pPr>
      <w:r>
        <w:rPr>
          <w:rFonts w:hint="eastAsia"/>
          <w:sz w:val="24"/>
          <w:lang w:val="en-US" w:eastAsia="zh-CN"/>
        </w:rPr>
        <w:t>我国资本市场散户主导，投资门坎儿低，没有投资模式，随意买卖不敬畏市场风险导致721的畸形市场，投资文化虽然在逐渐向价值投资及机构投资引导，但漫长的征途只是刚刚开始，因此在这个高风险的市场存在的投机价值也是近8000万股民乐此不疲存在的原因，市场在改变，游资主导的市场在改变，过去盈利的方式也迎来巨变，新一代股民必须全新武装才能重新出发。</w:t>
      </w:r>
      <w:r>
        <w:rPr>
          <w:rFonts w:hint="eastAsia"/>
          <w:b/>
          <w:bCs/>
          <w:color w:val="FF0000"/>
          <w:sz w:val="24"/>
          <w:lang w:val="en-US" w:eastAsia="zh-CN"/>
        </w:rPr>
        <w:t>（市场骤变，风险巨大）</w:t>
      </w:r>
    </w:p>
    <w:p>
      <w:pPr>
        <w:spacing w:line="480" w:lineRule="auto"/>
        <w:ind w:firstLine="480" w:firstLineChars="200"/>
        <w:rPr>
          <w:rFonts w:hint="eastAsia" w:ascii="方正大黑简体" w:hAnsi="方正大黑简体" w:eastAsia="方正大黑简体" w:cs="方正大黑简体"/>
          <w:b/>
          <w:bCs/>
          <w:i w:val="0"/>
          <w:iCs w:val="0"/>
          <w:color w:val="7030A0"/>
          <w:sz w:val="32"/>
          <w:szCs w:val="32"/>
          <w:lang w:eastAsia="zh-CN"/>
        </w:rPr>
      </w:pPr>
      <w:r>
        <w:rPr>
          <w:rFonts w:hint="eastAsia"/>
          <w:sz w:val="24"/>
          <w:lang w:val="en-US" w:eastAsia="zh-CN"/>
        </w:rPr>
        <w:t>如果你任然热爱这个市场请心生敬畏，学习模式方法才能改变过去失败的命运。如果没有投资天赋，没有高人点播，很难融汇贯通，在错误的方法主导的道路上越努力越沉痛。憧憬新的机会，实现财富自由，迎娶白富美为和谐家庭带来更多欢声笑语是本次培训缘起，愿所有参与者皆大欢喜。</w:t>
      </w:r>
      <w:r>
        <w:rPr>
          <w:rFonts w:hint="eastAsia"/>
          <w:b/>
          <w:bCs/>
          <w:color w:val="FF0000"/>
          <w:sz w:val="24"/>
          <w:lang w:val="en-US" w:eastAsia="zh-CN"/>
        </w:rPr>
        <w:t>（学习改变命运，方法创造价值）</w:t>
      </w:r>
    </w:p>
    <w:p>
      <w:pPr>
        <w:rPr>
          <w:rFonts w:hint="eastAsia" w:ascii="方正大黑简体" w:hAnsi="方正大黑简体" w:eastAsia="方正大黑简体" w:cs="方正大黑简体"/>
          <w:b/>
          <w:bCs/>
          <w:i w:val="0"/>
          <w:iCs w:val="0"/>
          <w:color w:val="FF0000"/>
          <w:sz w:val="32"/>
          <w:szCs w:val="32"/>
          <w:lang w:eastAsia="zh-CN"/>
        </w:rPr>
      </w:pPr>
      <w:r>
        <w:rPr>
          <w:rFonts w:hint="eastAsia" w:ascii="方正大黑简体" w:hAnsi="方正大黑简体" w:eastAsia="方正大黑简体" w:cs="方正大黑简体"/>
          <w:b/>
          <w:bCs/>
          <w:i w:val="0"/>
          <w:iCs w:val="0"/>
          <w:color w:val="FF0000"/>
          <w:sz w:val="32"/>
          <w:szCs w:val="32"/>
          <w:lang w:eastAsia="zh-CN"/>
        </w:rPr>
        <w:t>【</w:t>
      </w:r>
      <w:r>
        <w:rPr>
          <w:rFonts w:hint="eastAsia" w:ascii="方正大黑简体" w:hAnsi="方正大黑简体" w:eastAsia="方正大黑简体" w:cs="方正大黑简体"/>
          <w:b/>
          <w:bCs/>
          <w:i w:val="0"/>
          <w:iCs w:val="0"/>
          <w:color w:val="FF0000"/>
          <w:sz w:val="32"/>
          <w:szCs w:val="32"/>
          <w:lang w:val="en-US" w:eastAsia="zh-CN"/>
        </w:rPr>
        <w:t>课程安排</w:t>
      </w:r>
      <w:r>
        <w:rPr>
          <w:rFonts w:hint="eastAsia" w:ascii="方正大黑简体" w:hAnsi="方正大黑简体" w:eastAsia="方正大黑简体" w:cs="方正大黑简体"/>
          <w:b/>
          <w:bCs/>
          <w:i w:val="0"/>
          <w:iCs w:val="0"/>
          <w:color w:val="FF0000"/>
          <w:sz w:val="32"/>
          <w:szCs w:val="32"/>
          <w:lang w:eastAsia="zh-CN"/>
        </w:rPr>
        <w:t>】</w:t>
      </w:r>
    </w:p>
    <w:tbl>
      <w:tblPr>
        <w:tblStyle w:val="8"/>
        <w:tblW w:w="8800" w:type="dxa"/>
        <w:jc w:val="center"/>
        <w:tblCellSpacing w:w="15" w:type="dxa"/>
        <w:tblInd w:w="-116" w:type="dxa"/>
        <w:tblLayout w:type="fixed"/>
        <w:tblCellMar>
          <w:top w:w="15" w:type="dxa"/>
          <w:left w:w="15" w:type="dxa"/>
          <w:bottom w:w="15" w:type="dxa"/>
          <w:right w:w="15" w:type="dxa"/>
        </w:tblCellMar>
      </w:tblPr>
      <w:tblGrid>
        <w:gridCol w:w="4251"/>
        <w:gridCol w:w="4549"/>
      </w:tblGrid>
      <w:tr>
        <w:tblPrEx>
          <w:tblLayout w:type="fixed"/>
          <w:tblCellMar>
            <w:top w:w="15" w:type="dxa"/>
            <w:left w:w="15" w:type="dxa"/>
            <w:bottom w:w="15" w:type="dxa"/>
            <w:right w:w="15" w:type="dxa"/>
          </w:tblCellMar>
        </w:tblPrEx>
        <w:trPr>
          <w:trHeight w:val="502" w:hRule="atLeast"/>
          <w:tblCellSpacing w:w="15" w:type="dxa"/>
          <w:jc w:val="center"/>
        </w:trPr>
        <w:tc>
          <w:tcPr>
            <w:tcW w:w="8740" w:type="dxa"/>
            <w:gridSpan w:val="2"/>
            <w:tcBorders>
              <w:top w:val="single" w:color="auto" w:sz="0" w:space="0"/>
              <w:left w:val="inset" w:color="000000" w:sz="6" w:space="0"/>
              <w:bottom w:val="inset" w:color="000000" w:sz="6" w:space="0"/>
              <w:right w:val="inset" w:color="000000" w:sz="6" w:space="0"/>
            </w:tcBorders>
            <w:shd w:val="clear" w:color="auto" w:fill="FF0000"/>
            <w:tcMar>
              <w:top w:w="0" w:type="dxa"/>
              <w:left w:w="0" w:type="dxa"/>
              <w:bottom w:w="0" w:type="dxa"/>
              <w:right w:w="0" w:type="dxa"/>
            </w:tcMar>
            <w:vAlign w:val="center"/>
          </w:tcPr>
          <w:p>
            <w:pPr>
              <w:widowControl/>
              <w:jc w:val="center"/>
              <w:rPr>
                <w:rFonts w:hint="eastAsia" w:ascii="宋体" w:hAnsi="宋体" w:eastAsia="宋体" w:cs="宋体"/>
                <w:b/>
                <w:bCs/>
                <w:color w:val="FFFFFF" w:themeColor="background1"/>
                <w:kern w:val="0"/>
                <w:sz w:val="24"/>
                <w:szCs w:val="24"/>
                <w:lang w:val="en-US" w:eastAsia="zh-CN"/>
                <w14:textFill>
                  <w14:solidFill>
                    <w14:schemeClr w14:val="bg1"/>
                  </w14:solidFill>
                </w14:textFill>
              </w:rPr>
            </w:pPr>
            <w:r>
              <w:rPr>
                <w:rFonts w:hint="eastAsia" w:ascii="宋体" w:hAnsi="宋体" w:eastAsia="宋体" w:cs="宋体"/>
                <w:b/>
                <w:bCs/>
                <w:color w:val="FFFFFF" w:themeColor="background1"/>
                <w:kern w:val="0"/>
                <w:sz w:val="28"/>
                <w:szCs w:val="28"/>
                <w:lang w:val="en-US" w:eastAsia="zh-CN"/>
                <w14:textFill>
                  <w14:solidFill>
                    <w14:schemeClr w14:val="bg1"/>
                  </w14:solidFill>
                </w14:textFill>
              </w:rPr>
              <w:t>机构主流手法</w:t>
            </w:r>
          </w:p>
        </w:tc>
      </w:tr>
      <w:tr>
        <w:tblPrEx>
          <w:tblLayout w:type="fixed"/>
          <w:tblCellMar>
            <w:top w:w="15" w:type="dxa"/>
            <w:left w:w="15" w:type="dxa"/>
            <w:bottom w:w="15" w:type="dxa"/>
            <w:right w:w="15" w:type="dxa"/>
          </w:tblCellMar>
        </w:tblPrEx>
        <w:trPr>
          <w:trHeight w:val="474" w:hRule="atLeast"/>
          <w:tblCellSpacing w:w="15" w:type="dxa"/>
          <w:jc w:val="center"/>
        </w:trPr>
        <w:tc>
          <w:tcPr>
            <w:tcW w:w="8740" w:type="dxa"/>
            <w:gridSpan w:val="2"/>
            <w:tcBorders>
              <w:top w:val="single" w:color="auto" w:sz="0" w:space="0"/>
              <w:left w:val="inset" w:color="000000" w:sz="6" w:space="0"/>
              <w:bottom w:val="single" w:color="auto" w:sz="4" w:space="0"/>
              <w:right w:val="inset" w:color="000000" w:sz="6" w:space="0"/>
            </w:tcBorders>
            <w:tcMar>
              <w:top w:w="0" w:type="dxa"/>
              <w:left w:w="0" w:type="dxa"/>
              <w:bottom w:w="0" w:type="dxa"/>
              <w:right w:w="0" w:type="dxa"/>
            </w:tcMar>
            <w:vAlign w:val="center"/>
          </w:tcPr>
          <w:p>
            <w:pPr>
              <w:jc w:val="center"/>
              <w:rPr>
                <w:rFonts w:hint="eastAsia" w:ascii="宋体" w:hAnsi="宋体" w:eastAsia="宋体" w:cs="宋体"/>
                <w:color w:val="666666"/>
                <w:kern w:val="0"/>
                <w:sz w:val="24"/>
                <w:szCs w:val="24"/>
                <w:lang w:val="en-US" w:eastAsia="zh-CN"/>
              </w:rPr>
            </w:pPr>
            <w:r>
              <w:rPr>
                <w:rFonts w:hint="eastAsia" w:ascii="宋体" w:hAnsi="宋体" w:eastAsia="宋体" w:cs="宋体"/>
                <w:b/>
                <w:bCs/>
                <w:color w:val="000000"/>
                <w:kern w:val="0"/>
                <w:sz w:val="24"/>
                <w:szCs w:val="24"/>
                <w:lang w:val="en-US" w:eastAsia="zh-CN"/>
              </w:rPr>
              <w:t>投资方式：中线跟最强的庄，超短线做最主流的热点</w:t>
            </w:r>
          </w:p>
        </w:tc>
      </w:tr>
      <w:tr>
        <w:tblPrEx>
          <w:tblLayout w:type="fixed"/>
          <w:tblCellMar>
            <w:top w:w="15" w:type="dxa"/>
            <w:left w:w="15" w:type="dxa"/>
            <w:bottom w:w="15" w:type="dxa"/>
            <w:right w:w="15" w:type="dxa"/>
          </w:tblCellMar>
        </w:tblPrEx>
        <w:trPr>
          <w:trHeight w:val="502" w:hRule="atLeast"/>
          <w:tblCellSpacing w:w="15" w:type="dxa"/>
          <w:jc w:val="center"/>
        </w:trPr>
        <w:tc>
          <w:tcPr>
            <w:tcW w:w="4206" w:type="dxa"/>
            <w:tcBorders>
              <w:top w:val="single" w:color="auto" w:sz="4" w:space="0"/>
              <w:left w:val="inset" w:color="000000" w:sz="6" w:space="0"/>
              <w:bottom w:val="single" w:color="auto" w:sz="4" w:space="0"/>
              <w:right w:val="inset" w:color="000000" w:sz="6" w:space="0"/>
            </w:tcBorders>
            <w:shd w:val="clear" w:color="auto" w:fill="FF0000"/>
            <w:tcMar>
              <w:top w:w="0" w:type="dxa"/>
              <w:left w:w="0" w:type="dxa"/>
              <w:bottom w:w="0" w:type="dxa"/>
              <w:right w:w="0" w:type="dxa"/>
            </w:tcMar>
            <w:vAlign w:val="center"/>
          </w:tcPr>
          <w:p>
            <w:pPr>
              <w:widowControl/>
              <w:jc w:val="center"/>
              <w:rPr>
                <w:rFonts w:hint="eastAsia" w:ascii="宋体" w:hAnsi="宋体" w:eastAsia="宋体" w:cs="宋体"/>
                <w:b/>
                <w:bCs/>
                <w:color w:val="FFFFFF" w:themeColor="background1"/>
                <w:sz w:val="24"/>
                <w:szCs w:val="24"/>
                <w:lang w:val="en-US" w:eastAsia="zh-CN"/>
                <w14:textFill>
                  <w14:solidFill>
                    <w14:schemeClr w14:val="bg1"/>
                  </w14:solidFill>
                </w14:textFill>
              </w:rPr>
            </w:pPr>
            <w:r>
              <w:rPr>
                <w:rFonts w:hint="eastAsia" w:ascii="宋体" w:hAnsi="宋体" w:eastAsia="宋体" w:cs="宋体"/>
                <w:b/>
                <w:bCs/>
                <w:color w:val="FFFFFF" w:themeColor="background1"/>
                <w:kern w:val="0"/>
                <w:sz w:val="24"/>
                <w:szCs w:val="24"/>
                <w:lang w:val="en-US" w:eastAsia="zh-CN"/>
                <w14:textFill>
                  <w14:solidFill>
                    <w14:schemeClr w14:val="bg1"/>
                  </w14:solidFill>
                </w14:textFill>
              </w:rPr>
              <w:t>A股那些事</w:t>
            </w:r>
          </w:p>
        </w:tc>
        <w:tc>
          <w:tcPr>
            <w:tcW w:w="4504" w:type="dxa"/>
            <w:tcBorders>
              <w:top w:val="single" w:color="auto" w:sz="4" w:space="0"/>
              <w:left w:val="single" w:color="auto" w:sz="0" w:space="0"/>
              <w:bottom w:val="single" w:color="auto" w:sz="4" w:space="0"/>
              <w:right w:val="inset" w:color="000000" w:sz="6" w:space="0"/>
            </w:tcBorders>
            <w:shd w:val="clear" w:color="auto" w:fill="FF0000"/>
            <w:tcMar>
              <w:top w:w="0" w:type="dxa"/>
              <w:left w:w="0" w:type="dxa"/>
              <w:bottom w:w="0" w:type="dxa"/>
              <w:right w:w="0" w:type="dxa"/>
            </w:tcMar>
            <w:vAlign w:val="center"/>
          </w:tcPr>
          <w:p>
            <w:pPr>
              <w:widowControl/>
              <w:jc w:val="center"/>
              <w:rPr>
                <w:rFonts w:hint="eastAsia" w:ascii="宋体" w:hAnsi="宋体" w:eastAsia="宋体" w:cs="宋体"/>
                <w:b/>
                <w:bCs/>
                <w:color w:val="FFFFFF" w:themeColor="background1"/>
                <w:kern w:val="0"/>
                <w:sz w:val="24"/>
                <w:szCs w:val="24"/>
                <w:lang w:val="en-US" w:eastAsia="zh-CN"/>
                <w14:textFill>
                  <w14:solidFill>
                    <w14:schemeClr w14:val="bg1"/>
                  </w14:solidFill>
                </w14:textFill>
              </w:rPr>
            </w:pPr>
            <w:r>
              <w:rPr>
                <w:rFonts w:hint="eastAsia" w:ascii="宋体" w:hAnsi="宋体" w:eastAsia="宋体" w:cs="宋体"/>
                <w:b/>
                <w:bCs/>
                <w:color w:val="FFFFFF" w:themeColor="background1"/>
                <w:kern w:val="0"/>
                <w:sz w:val="24"/>
                <w:szCs w:val="24"/>
                <w:lang w:val="en-US" w:eastAsia="zh-CN"/>
                <w14:textFill>
                  <w14:solidFill>
                    <w14:schemeClr w14:val="bg1"/>
                  </w14:solidFill>
                </w14:textFill>
              </w:rPr>
              <w:t>黄金战法（机构和庄股操盘模式）</w:t>
            </w:r>
          </w:p>
        </w:tc>
      </w:tr>
      <w:tr>
        <w:tblPrEx>
          <w:tblLayout w:type="fixed"/>
          <w:tblCellMar>
            <w:top w:w="15" w:type="dxa"/>
            <w:left w:w="15" w:type="dxa"/>
            <w:bottom w:w="15" w:type="dxa"/>
            <w:right w:w="15" w:type="dxa"/>
          </w:tblCellMar>
        </w:tblPrEx>
        <w:trPr>
          <w:trHeight w:val="1202" w:hRule="atLeast"/>
          <w:tblCellSpacing w:w="15" w:type="dxa"/>
          <w:jc w:val="center"/>
        </w:trPr>
        <w:tc>
          <w:tcPr>
            <w:tcW w:w="4206" w:type="dxa"/>
            <w:tcBorders>
              <w:top w:val="single" w:color="auto" w:sz="4" w:space="0"/>
              <w:left w:val="inset" w:color="000000" w:sz="6" w:space="0"/>
              <w:bottom w:val="inset" w:color="000000" w:sz="6" w:space="0"/>
              <w:right w:val="inset" w:color="000000" w:sz="6" w:space="0"/>
            </w:tcBorders>
            <w:tcMar>
              <w:top w:w="0" w:type="dxa"/>
              <w:left w:w="0" w:type="dxa"/>
              <w:bottom w:w="0" w:type="dxa"/>
              <w:right w:w="0" w:type="dxa"/>
            </w:tcMar>
            <w:vAlign w:val="center"/>
          </w:tcPr>
          <w:p>
            <w:pPr>
              <w:ind w:firstLine="720" w:firstLineChars="300"/>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A股市场投资的真实情况</w:t>
            </w:r>
          </w:p>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股民的致命弱点</w:t>
            </w:r>
          </w:p>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股市操盘手的成长级别</w:t>
            </w:r>
          </w:p>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股市投资的派别</w:t>
            </w:r>
          </w:p>
        </w:tc>
        <w:tc>
          <w:tcPr>
            <w:tcW w:w="4504" w:type="dxa"/>
            <w:tcBorders>
              <w:top w:val="single" w:color="auto" w:sz="4" w:space="0"/>
              <w:left w:val="single" w:color="auto" w:sz="0" w:space="0"/>
              <w:bottom w:val="inset" w:color="000000" w:sz="6" w:space="0"/>
              <w:right w:val="inset" w:color="000000" w:sz="6" w:space="0"/>
            </w:tcBorders>
            <w:tcMar>
              <w:top w:w="0" w:type="dxa"/>
              <w:left w:w="0" w:type="dxa"/>
              <w:bottom w:w="0" w:type="dxa"/>
              <w:right w:w="0" w:type="dxa"/>
            </w:tcMar>
            <w:vAlign w:val="center"/>
          </w:tcPr>
          <w:p>
            <w:pPr>
              <w:ind w:firstLine="1200" w:firstLineChars="500"/>
              <w:jc w:val="both"/>
              <w:rPr>
                <w:rFonts w:hint="eastAsia" w:ascii="宋体" w:hAnsi="宋体" w:eastAsia="宋体" w:cs="宋体"/>
                <w:color w:val="000000"/>
                <w:kern w:val="0"/>
                <w:sz w:val="24"/>
                <w:szCs w:val="24"/>
                <w:lang w:val="en-US" w:eastAsia="zh-CN"/>
              </w:rPr>
            </w:pPr>
          </w:p>
          <w:p>
            <w:pPr>
              <w:ind w:firstLine="1200" w:firstLineChars="500"/>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市场上的资金面</w:t>
            </w:r>
          </w:p>
          <w:p>
            <w:pPr>
              <w:ind w:firstLine="480" w:firstLineChars="200"/>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技术指标认知、设置和使用</w:t>
            </w:r>
          </w:p>
          <w:p>
            <w:pPr>
              <w:ind w:firstLine="1200" w:firstLineChars="500"/>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K线结构  成交量</w:t>
            </w:r>
          </w:p>
          <w:p>
            <w:pPr>
              <w:ind w:firstLine="960" w:firstLineChars="400"/>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主力建仓的3种典型手法</w:t>
            </w:r>
          </w:p>
          <w:p>
            <w:pPr>
              <w:jc w:val="both"/>
              <w:rPr>
                <w:rFonts w:hint="eastAsia" w:ascii="宋体" w:hAnsi="宋体" w:eastAsia="宋体" w:cs="宋体"/>
                <w:color w:val="000000"/>
                <w:kern w:val="0"/>
                <w:sz w:val="24"/>
                <w:szCs w:val="24"/>
                <w:lang w:val="en-US" w:eastAsia="zh-CN"/>
              </w:rPr>
            </w:pPr>
          </w:p>
        </w:tc>
      </w:tr>
      <w:tr>
        <w:tblPrEx>
          <w:tblLayout w:type="fixed"/>
          <w:tblCellMar>
            <w:top w:w="15" w:type="dxa"/>
            <w:left w:w="15" w:type="dxa"/>
            <w:bottom w:w="15" w:type="dxa"/>
            <w:right w:w="15" w:type="dxa"/>
          </w:tblCellMar>
        </w:tblPrEx>
        <w:trPr>
          <w:trHeight w:val="502" w:hRule="atLeast"/>
          <w:tblCellSpacing w:w="15" w:type="dxa"/>
          <w:jc w:val="center"/>
        </w:trPr>
        <w:tc>
          <w:tcPr>
            <w:tcW w:w="4206" w:type="dxa"/>
            <w:tcBorders>
              <w:top w:val="single" w:color="auto" w:sz="4" w:space="0"/>
              <w:left w:val="inset" w:color="000000" w:sz="6" w:space="0"/>
              <w:bottom w:val="single" w:color="auto" w:sz="4" w:space="0"/>
              <w:right w:val="inset" w:color="000000" w:sz="6" w:space="0"/>
            </w:tcBorders>
            <w:shd w:val="clear" w:color="auto" w:fill="FF0000"/>
            <w:tcMar>
              <w:top w:w="0" w:type="dxa"/>
              <w:left w:w="0" w:type="dxa"/>
              <w:bottom w:w="0" w:type="dxa"/>
              <w:right w:w="0" w:type="dxa"/>
            </w:tcMar>
            <w:vAlign w:val="center"/>
          </w:tcPr>
          <w:p>
            <w:pPr>
              <w:jc w:val="center"/>
              <w:rPr>
                <w:rFonts w:hint="eastAsia" w:ascii="宋体" w:hAnsi="宋体" w:eastAsia="宋体" w:cs="宋体"/>
                <w:b/>
                <w:bCs/>
                <w:color w:val="FFFFFF" w:themeColor="background1"/>
                <w:kern w:val="0"/>
                <w:sz w:val="24"/>
                <w:szCs w:val="24"/>
                <w:lang w:val="en-US"/>
                <w14:textFill>
                  <w14:solidFill>
                    <w14:schemeClr w14:val="bg1"/>
                  </w14:solidFill>
                </w14:textFill>
              </w:rPr>
            </w:pPr>
            <w:r>
              <w:rPr>
                <w:rFonts w:hint="eastAsia" w:ascii="宋体" w:hAnsi="宋体" w:eastAsia="宋体" w:cs="宋体"/>
                <w:b/>
                <w:bCs/>
                <w:color w:val="FFFFFF" w:themeColor="background1"/>
                <w:kern w:val="0"/>
                <w:sz w:val="24"/>
                <w:szCs w:val="24"/>
                <w:lang w:val="en-US" w:eastAsia="zh-CN"/>
                <w14:textFill>
                  <w14:solidFill>
                    <w14:schemeClr w14:val="bg1"/>
                  </w14:solidFill>
                </w14:textFill>
              </w:rPr>
              <w:t>T+0实战技巧</w:t>
            </w:r>
          </w:p>
        </w:tc>
        <w:tc>
          <w:tcPr>
            <w:tcW w:w="4504" w:type="dxa"/>
            <w:tcBorders>
              <w:top w:val="single" w:color="auto" w:sz="4" w:space="0"/>
              <w:left w:val="single" w:color="auto" w:sz="0" w:space="0"/>
              <w:bottom w:val="single" w:color="auto" w:sz="4" w:space="0"/>
              <w:right w:val="inset" w:color="000000" w:sz="6" w:space="0"/>
            </w:tcBorders>
            <w:shd w:val="clear" w:color="auto" w:fill="FF0000"/>
            <w:tcMar>
              <w:top w:w="0" w:type="dxa"/>
              <w:left w:w="0" w:type="dxa"/>
              <w:bottom w:w="0" w:type="dxa"/>
              <w:right w:w="0" w:type="dxa"/>
            </w:tcMar>
            <w:vAlign w:val="center"/>
          </w:tcPr>
          <w:p>
            <w:pPr>
              <w:widowControl/>
              <w:jc w:val="center"/>
              <w:rPr>
                <w:rFonts w:hint="eastAsia" w:ascii="宋体" w:hAnsi="宋体" w:eastAsia="宋体" w:cs="宋体"/>
                <w:b/>
                <w:bCs/>
                <w:color w:val="FFFFFF" w:themeColor="background1"/>
                <w:kern w:val="0"/>
                <w:sz w:val="24"/>
                <w:szCs w:val="24"/>
                <w:lang w:eastAsia="zh-CN"/>
                <w14:textFill>
                  <w14:solidFill>
                    <w14:schemeClr w14:val="bg1"/>
                  </w14:solidFill>
                </w14:textFill>
              </w:rPr>
            </w:pPr>
            <w:r>
              <w:rPr>
                <w:rFonts w:hint="eastAsia" w:ascii="宋体" w:hAnsi="宋体" w:eastAsia="宋体" w:cs="宋体"/>
                <w:b/>
                <w:bCs/>
                <w:color w:val="FFFFFF" w:themeColor="background1"/>
                <w:kern w:val="0"/>
                <w:sz w:val="24"/>
                <w:szCs w:val="24"/>
                <w:lang w:eastAsia="zh-CN"/>
                <w14:textFill>
                  <w14:solidFill>
                    <w14:schemeClr w14:val="bg1"/>
                  </w14:solidFill>
                </w14:textFill>
              </w:rPr>
              <w:t>黄金战法选股</w:t>
            </w:r>
          </w:p>
        </w:tc>
      </w:tr>
      <w:tr>
        <w:tblPrEx>
          <w:tblLayout w:type="fixed"/>
          <w:tblCellMar>
            <w:top w:w="15" w:type="dxa"/>
            <w:left w:w="15" w:type="dxa"/>
            <w:bottom w:w="15" w:type="dxa"/>
            <w:right w:w="15" w:type="dxa"/>
          </w:tblCellMar>
        </w:tblPrEx>
        <w:trPr>
          <w:trHeight w:val="939" w:hRule="atLeast"/>
          <w:tblCellSpacing w:w="15" w:type="dxa"/>
          <w:jc w:val="center"/>
        </w:trPr>
        <w:tc>
          <w:tcPr>
            <w:tcW w:w="4206" w:type="dxa"/>
            <w:tcBorders>
              <w:top w:val="single" w:color="auto" w:sz="4" w:space="0"/>
              <w:left w:val="inset" w:color="000000" w:sz="6" w:space="0"/>
              <w:bottom w:val="single" w:color="auto" w:sz="4" w:space="0"/>
              <w:right w:val="inset" w:color="000000" w:sz="6" w:space="0"/>
            </w:tcBorders>
            <w:shd w:val="clear" w:color="auto" w:fill="FFFFFF" w:themeFill="background1"/>
            <w:tcMar>
              <w:top w:w="0" w:type="dxa"/>
              <w:left w:w="0" w:type="dxa"/>
              <w:bottom w:w="0" w:type="dxa"/>
              <w:right w:w="0" w:type="dxa"/>
            </w:tcMar>
            <w:vAlign w:val="center"/>
          </w:tcPr>
          <w:p>
            <w:pPr>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上升趋势分时做</w:t>
            </w:r>
            <w:r>
              <w:rPr>
                <w:rFonts w:hint="eastAsia" w:ascii="宋体" w:hAnsi="宋体" w:eastAsia="宋体" w:cs="宋体"/>
                <w:sz w:val="24"/>
                <w:szCs w:val="24"/>
                <w:lang w:val="en-US" w:eastAsia="zh-CN"/>
              </w:rPr>
              <w:t>T</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下降趋势 分时做T</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做T的结构细化分解</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趋势线实战运用</w:t>
            </w:r>
          </w:p>
          <w:p>
            <w:pPr>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周K：中心值战法</w:t>
            </w:r>
          </w:p>
        </w:tc>
        <w:tc>
          <w:tcPr>
            <w:tcW w:w="4504" w:type="dxa"/>
            <w:tcBorders>
              <w:top w:val="single" w:color="auto" w:sz="4" w:space="0"/>
              <w:left w:val="single" w:color="auto" w:sz="0" w:space="0"/>
              <w:bottom w:val="single" w:color="auto" w:sz="4" w:space="0"/>
              <w:right w:val="inset" w:color="000000" w:sz="6" w:space="0"/>
            </w:tcBorders>
            <w:tcMar>
              <w:top w:w="0" w:type="dxa"/>
              <w:left w:w="0" w:type="dxa"/>
              <w:bottom w:w="0" w:type="dxa"/>
              <w:right w:w="0" w:type="dxa"/>
            </w:tcMar>
            <w:vAlign w:val="center"/>
          </w:tcPr>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热点级别判断方式</w:t>
            </w:r>
          </w:p>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热点题材、板块的轮动规律</w:t>
            </w:r>
          </w:p>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lang w:val="en-US" w:eastAsia="zh-CN"/>
              </w:rPr>
              <w:t>黄金战法多维度选股方式</w:t>
            </w:r>
          </w:p>
        </w:tc>
      </w:tr>
      <w:tr>
        <w:tblPrEx>
          <w:tblLayout w:type="fixed"/>
          <w:tblCellMar>
            <w:top w:w="15" w:type="dxa"/>
            <w:left w:w="15" w:type="dxa"/>
            <w:bottom w:w="15" w:type="dxa"/>
            <w:right w:w="15" w:type="dxa"/>
          </w:tblCellMar>
        </w:tblPrEx>
        <w:trPr>
          <w:trHeight w:val="502" w:hRule="atLeast"/>
          <w:tblCellSpacing w:w="15" w:type="dxa"/>
          <w:jc w:val="center"/>
        </w:trPr>
        <w:tc>
          <w:tcPr>
            <w:tcW w:w="4206" w:type="dxa"/>
            <w:tcBorders>
              <w:top w:val="single" w:color="auto" w:sz="4" w:space="0"/>
              <w:left w:val="inset" w:color="000000" w:sz="6" w:space="0"/>
              <w:bottom w:val="single" w:color="auto" w:sz="4" w:space="0"/>
              <w:right w:val="inset" w:color="000000" w:sz="6" w:space="0"/>
            </w:tcBorders>
            <w:shd w:val="clear" w:color="auto" w:fill="FF0000"/>
            <w:tcMar>
              <w:top w:w="0" w:type="dxa"/>
              <w:left w:w="0" w:type="dxa"/>
              <w:bottom w:w="0" w:type="dxa"/>
              <w:right w:w="0" w:type="dxa"/>
            </w:tcMar>
            <w:vAlign w:val="center"/>
          </w:tcPr>
          <w:p>
            <w:pPr>
              <w:jc w:val="center"/>
              <w:rPr>
                <w:rFonts w:hint="eastAsia" w:ascii="宋体" w:hAnsi="宋体" w:eastAsia="宋体" w:cs="宋体"/>
                <w:color w:val="000000"/>
                <w:kern w:val="0"/>
                <w:sz w:val="24"/>
                <w:szCs w:val="24"/>
                <w:lang w:val="en-US" w:eastAsia="zh-CN"/>
              </w:rPr>
            </w:pPr>
            <w:r>
              <w:rPr>
                <w:rFonts w:hint="eastAsia" w:ascii="宋体" w:hAnsi="宋体" w:eastAsia="宋体" w:cs="宋体"/>
                <w:b/>
                <w:bCs/>
                <w:color w:val="FFFFFF" w:themeColor="background1"/>
                <w:kern w:val="0"/>
                <w:sz w:val="24"/>
                <w:szCs w:val="24"/>
                <w:lang w:val="en-US" w:eastAsia="zh-CN"/>
                <w14:textFill>
                  <w14:solidFill>
                    <w14:schemeClr w14:val="bg1"/>
                  </w14:solidFill>
                </w14:textFill>
              </w:rPr>
              <w:t>破气式（顶级游资模式之一）</w:t>
            </w:r>
          </w:p>
        </w:tc>
        <w:tc>
          <w:tcPr>
            <w:tcW w:w="4504" w:type="dxa"/>
            <w:tcBorders>
              <w:top w:val="single" w:color="auto" w:sz="4" w:space="0"/>
              <w:left w:val="single" w:color="auto" w:sz="0" w:space="0"/>
              <w:bottom w:val="single" w:color="auto" w:sz="4" w:space="0"/>
              <w:right w:val="inset" w:color="000000" w:sz="6" w:space="0"/>
            </w:tcBorders>
            <w:shd w:val="clear" w:color="auto" w:fill="FF0000"/>
            <w:tcMar>
              <w:top w:w="0" w:type="dxa"/>
              <w:left w:w="0" w:type="dxa"/>
              <w:bottom w:w="0" w:type="dxa"/>
              <w:right w:w="0" w:type="dxa"/>
            </w:tcMar>
            <w:vAlign w:val="center"/>
          </w:tcPr>
          <w:p>
            <w:pPr>
              <w:jc w:val="center"/>
              <w:rPr>
                <w:rFonts w:hint="eastAsia" w:ascii="宋体" w:hAnsi="宋体" w:eastAsia="宋体" w:cs="宋体"/>
                <w:color w:val="000000"/>
                <w:kern w:val="0"/>
                <w:sz w:val="24"/>
                <w:szCs w:val="24"/>
                <w:lang w:val="en-US" w:eastAsia="zh-CN"/>
              </w:rPr>
            </w:pPr>
            <w:r>
              <w:rPr>
                <w:rFonts w:hint="eastAsia" w:ascii="宋体" w:hAnsi="宋体" w:eastAsia="宋体" w:cs="宋体"/>
                <w:b/>
                <w:bCs/>
                <w:color w:val="FFFFFF" w:themeColor="background1"/>
                <w:kern w:val="0"/>
                <w:sz w:val="24"/>
                <w:szCs w:val="24"/>
                <w:lang w:val="en-US" w:eastAsia="zh-CN"/>
                <w14:textFill>
                  <w14:solidFill>
                    <w14:schemeClr w14:val="bg1"/>
                  </w14:solidFill>
                </w14:textFill>
              </w:rPr>
              <w:t>稳健投资 特训营</w:t>
            </w:r>
          </w:p>
        </w:tc>
      </w:tr>
      <w:tr>
        <w:tblPrEx>
          <w:tblLayout w:type="fixed"/>
          <w:tblCellMar>
            <w:top w:w="15" w:type="dxa"/>
            <w:left w:w="15" w:type="dxa"/>
            <w:bottom w:w="15" w:type="dxa"/>
            <w:right w:w="15" w:type="dxa"/>
          </w:tblCellMar>
        </w:tblPrEx>
        <w:trPr>
          <w:trHeight w:val="1024" w:hRule="atLeast"/>
          <w:tblCellSpacing w:w="15" w:type="dxa"/>
          <w:jc w:val="center"/>
        </w:trPr>
        <w:tc>
          <w:tcPr>
            <w:tcW w:w="4206" w:type="dxa"/>
            <w:tcBorders>
              <w:top w:val="single" w:color="auto" w:sz="4" w:space="0"/>
              <w:left w:val="inset" w:color="000000" w:sz="6" w:space="0"/>
              <w:bottom w:val="single" w:color="auto" w:sz="4" w:space="0"/>
              <w:right w:val="inset" w:color="000000" w:sz="6" w:space="0"/>
            </w:tcBorders>
            <w:shd w:val="clear" w:color="auto" w:fill="FFFFFF" w:themeFill="background1"/>
            <w:tcMar>
              <w:top w:w="0" w:type="dxa"/>
              <w:left w:w="0" w:type="dxa"/>
              <w:bottom w:w="0" w:type="dxa"/>
              <w:right w:w="0" w:type="dxa"/>
            </w:tcMar>
            <w:vAlign w:val="center"/>
          </w:tcPr>
          <w:p>
            <w:pPr>
              <w:spacing w:line="240" w:lineRule="auto"/>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技术要点</w:t>
            </w:r>
          </w:p>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如何止盈止损</w:t>
            </w:r>
          </w:p>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如何与黄金战法中短结合</w:t>
            </w:r>
          </w:p>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交易的重要思维模式</w:t>
            </w:r>
          </w:p>
        </w:tc>
        <w:tc>
          <w:tcPr>
            <w:tcW w:w="4504" w:type="dxa"/>
            <w:tcBorders>
              <w:top w:val="single" w:color="auto" w:sz="4" w:space="0"/>
              <w:left w:val="single" w:color="auto" w:sz="0" w:space="0"/>
              <w:bottom w:val="single" w:color="auto" w:sz="4" w:space="0"/>
              <w:right w:val="inset" w:color="000000" w:sz="6" w:space="0"/>
            </w:tcBorders>
            <w:shd w:val="clear" w:color="auto" w:fill="FFFFFF" w:themeFill="background1"/>
            <w:tcMar>
              <w:top w:w="0" w:type="dxa"/>
              <w:left w:w="0" w:type="dxa"/>
              <w:bottom w:w="0" w:type="dxa"/>
              <w:right w:w="0" w:type="dxa"/>
            </w:tcMar>
            <w:vAlign w:val="center"/>
          </w:tcPr>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四步分时，重要均线买入法</w:t>
            </w:r>
          </w:p>
          <w:p>
            <w:pPr>
              <w:ind w:firstLine="1440" w:firstLineChars="600"/>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仓位如何布局</w:t>
            </w:r>
          </w:p>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凌波微步卖股法</w:t>
            </w:r>
          </w:p>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历史实战案例总结</w:t>
            </w:r>
          </w:p>
        </w:tc>
      </w:tr>
      <w:tr>
        <w:tblPrEx>
          <w:tblLayout w:type="fixed"/>
          <w:tblCellMar>
            <w:top w:w="15" w:type="dxa"/>
            <w:left w:w="15" w:type="dxa"/>
            <w:bottom w:w="15" w:type="dxa"/>
            <w:right w:w="15" w:type="dxa"/>
          </w:tblCellMar>
        </w:tblPrEx>
        <w:trPr>
          <w:trHeight w:val="507" w:hRule="atLeast"/>
          <w:tblCellSpacing w:w="15" w:type="dxa"/>
          <w:jc w:val="center"/>
        </w:trPr>
        <w:tc>
          <w:tcPr>
            <w:tcW w:w="8740" w:type="dxa"/>
            <w:gridSpan w:val="2"/>
            <w:tcBorders>
              <w:top w:val="single" w:color="auto" w:sz="4" w:space="0"/>
              <w:left w:val="inset" w:color="000000" w:sz="6" w:space="0"/>
              <w:bottom w:val="single" w:color="auto" w:sz="4" w:space="0"/>
              <w:right w:val="inset" w:color="000000" w:sz="6" w:space="0"/>
            </w:tcBorders>
            <w:shd w:val="clear" w:color="auto" w:fill="FF0000"/>
            <w:tcMar>
              <w:top w:w="0" w:type="dxa"/>
              <w:left w:w="0" w:type="dxa"/>
              <w:bottom w:w="0" w:type="dxa"/>
              <w:right w:w="0" w:type="dxa"/>
            </w:tcMar>
            <w:vAlign w:val="center"/>
          </w:tcPr>
          <w:p>
            <w:pPr>
              <w:jc w:val="center"/>
              <w:rPr>
                <w:rFonts w:hint="eastAsia" w:ascii="宋体" w:hAnsi="宋体" w:eastAsia="宋体" w:cs="宋体"/>
                <w:color w:val="000000"/>
                <w:kern w:val="0"/>
                <w:sz w:val="24"/>
                <w:szCs w:val="24"/>
                <w:lang w:val="en-US" w:eastAsia="zh-CN"/>
              </w:rPr>
            </w:pPr>
            <w:r>
              <w:rPr>
                <w:rFonts w:hint="eastAsia"/>
                <w:b/>
                <w:bCs/>
                <w:color w:val="FFFFFF" w:themeColor="background1"/>
                <w:sz w:val="28"/>
                <w:szCs w:val="28"/>
                <w:lang w:eastAsia="zh-CN"/>
                <w14:textFill>
                  <w14:solidFill>
                    <w14:schemeClr w14:val="bg1"/>
                  </w14:solidFill>
                </w14:textFill>
              </w:rPr>
              <w:t>师资介绍</w:t>
            </w:r>
          </w:p>
        </w:tc>
      </w:tr>
      <w:tr>
        <w:tblPrEx>
          <w:tblLayout w:type="fixed"/>
          <w:tblCellMar>
            <w:top w:w="15" w:type="dxa"/>
            <w:left w:w="15" w:type="dxa"/>
            <w:bottom w:w="15" w:type="dxa"/>
            <w:right w:w="15" w:type="dxa"/>
          </w:tblCellMar>
        </w:tblPrEx>
        <w:trPr>
          <w:trHeight w:val="1024" w:hRule="atLeast"/>
          <w:tblCellSpacing w:w="15" w:type="dxa"/>
          <w:jc w:val="center"/>
        </w:trPr>
        <w:tc>
          <w:tcPr>
            <w:tcW w:w="4206" w:type="dxa"/>
            <w:tcBorders>
              <w:top w:val="single" w:color="auto" w:sz="4" w:space="0"/>
              <w:left w:val="inset" w:color="000000" w:sz="6" w:space="0"/>
              <w:bottom w:val="single" w:color="auto" w:sz="4" w:space="0"/>
              <w:right w:val="inset" w:color="000000" w:sz="6" w:space="0"/>
            </w:tcBorders>
            <w:shd w:val="clear" w:color="auto" w:fill="FFFFFF" w:themeFill="background1"/>
            <w:tcMar>
              <w:top w:w="0" w:type="dxa"/>
              <w:left w:w="0" w:type="dxa"/>
              <w:bottom w:w="0" w:type="dxa"/>
              <w:right w:w="0" w:type="dxa"/>
            </w:tcMar>
            <w:vAlign w:val="center"/>
          </w:tcPr>
          <w:p>
            <w:pPr>
              <w:jc w:val="center"/>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drawing>
                <wp:anchor distT="0" distB="0" distL="114300" distR="114300" simplePos="0" relativeHeight="252748800" behindDoc="0" locked="0" layoutInCell="1" allowOverlap="1">
                  <wp:simplePos x="0" y="0"/>
                  <wp:positionH relativeFrom="column">
                    <wp:posOffset>209550</wp:posOffset>
                  </wp:positionH>
                  <wp:positionV relativeFrom="paragraph">
                    <wp:posOffset>100965</wp:posOffset>
                  </wp:positionV>
                  <wp:extent cx="2205990" cy="2238375"/>
                  <wp:effectExtent l="0" t="0" r="3810" b="9525"/>
                  <wp:wrapSquare wrapText="bothSides"/>
                  <wp:docPr id="27" name="图片 27" descr="军师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军师_副本"/>
                          <pic:cNvPicPr>
                            <a:picLocks noChangeAspect="1"/>
                          </pic:cNvPicPr>
                        </pic:nvPicPr>
                        <pic:blipFill>
                          <a:blip r:embed="rId7"/>
                          <a:stretch>
                            <a:fillRect/>
                          </a:stretch>
                        </pic:blipFill>
                        <pic:spPr>
                          <a:xfrm>
                            <a:off x="0" y="0"/>
                            <a:ext cx="2205990" cy="2238375"/>
                          </a:xfrm>
                          <a:prstGeom prst="rect">
                            <a:avLst/>
                          </a:prstGeom>
                        </pic:spPr>
                      </pic:pic>
                    </a:graphicData>
                  </a:graphic>
                </wp:anchor>
              </w:drawing>
            </w:r>
          </w:p>
        </w:tc>
        <w:tc>
          <w:tcPr>
            <w:tcW w:w="4504" w:type="dxa"/>
            <w:tcBorders>
              <w:top w:val="single" w:color="auto" w:sz="4" w:space="0"/>
              <w:left w:val="single" w:color="auto" w:sz="0" w:space="0"/>
              <w:bottom w:val="single" w:color="auto" w:sz="4" w:space="0"/>
              <w:right w:val="inset" w:color="000000" w:sz="6" w:space="0"/>
            </w:tcBorders>
            <w:shd w:val="clear" w:color="auto" w:fill="FFFFFF" w:themeFill="background1"/>
            <w:tcMar>
              <w:top w:w="0" w:type="dxa"/>
              <w:left w:w="0" w:type="dxa"/>
              <w:bottom w:w="0" w:type="dxa"/>
              <w:right w:w="0" w:type="dxa"/>
            </w:tcMar>
            <w:vAlign w:val="center"/>
          </w:tcPr>
          <w:p>
            <w:pPr>
              <w:jc w:val="left"/>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龟股军师（巫峰）</w:t>
            </w: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新浪财经、微博、今日头条、百度百家号、疯牛财经等知名财经博主</w:t>
            </w: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12年股市实战经验职业投资人，</w:t>
            </w: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新浪财经网红大赛十大投资明星</w:t>
            </w: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星象看市第一人</w:t>
            </w:r>
          </w:p>
          <w:p>
            <w:pPr>
              <w:jc w:val="left"/>
              <w:rPr>
                <w:rFonts w:hint="eastAsia" w:ascii="宋体" w:hAnsi="宋体" w:eastAsia="宋体" w:cs="宋体"/>
                <w:color w:val="000000"/>
                <w:kern w:val="0"/>
                <w:sz w:val="24"/>
                <w:szCs w:val="24"/>
                <w:lang w:val="en-US" w:eastAsia="zh-CN"/>
              </w:rPr>
            </w:pP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b/>
                <w:bCs/>
                <w:color w:val="000000"/>
                <w:kern w:val="0"/>
                <w:sz w:val="24"/>
                <w:szCs w:val="24"/>
                <w:lang w:val="en-US" w:eastAsia="zh-CN"/>
              </w:rPr>
              <w:t>代表作：</w:t>
            </w:r>
            <w:r>
              <w:rPr>
                <w:rFonts w:hint="eastAsia" w:ascii="宋体" w:hAnsi="宋体" w:eastAsia="宋体" w:cs="宋体"/>
                <w:color w:val="000000"/>
                <w:kern w:val="0"/>
                <w:sz w:val="24"/>
                <w:szCs w:val="24"/>
                <w:lang w:val="en-US" w:eastAsia="zh-CN"/>
              </w:rPr>
              <w:t>《股市黄金战法》《从零到投资顶级高手》超短线顶级游资操盘技术</w:t>
            </w: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技术涵盖：强庄和机构波段趋势打法；主流热点的低吸、半路、打板顶级技巧</w:t>
            </w:r>
          </w:p>
        </w:tc>
      </w:tr>
      <w:tr>
        <w:tblPrEx>
          <w:tblLayout w:type="fixed"/>
          <w:tblCellMar>
            <w:top w:w="15" w:type="dxa"/>
            <w:left w:w="15" w:type="dxa"/>
            <w:bottom w:w="15" w:type="dxa"/>
            <w:right w:w="15" w:type="dxa"/>
          </w:tblCellMar>
        </w:tblPrEx>
        <w:trPr>
          <w:trHeight w:val="496" w:hRule="atLeast"/>
          <w:tblCellSpacing w:w="15" w:type="dxa"/>
          <w:jc w:val="center"/>
        </w:trPr>
        <w:tc>
          <w:tcPr>
            <w:tcW w:w="8740" w:type="dxa"/>
            <w:gridSpan w:val="2"/>
            <w:tcBorders>
              <w:top w:val="single" w:color="auto" w:sz="4" w:space="0"/>
              <w:left w:val="inset" w:color="000000" w:sz="6" w:space="0"/>
              <w:bottom w:val="single" w:color="auto" w:sz="4" w:space="0"/>
              <w:right w:val="inset" w:color="000000" w:sz="6" w:space="0"/>
            </w:tcBorders>
            <w:shd w:val="clear" w:color="auto" w:fill="FFFFFF" w:themeFill="background1"/>
            <w:tcMar>
              <w:top w:w="0" w:type="dxa"/>
              <w:left w:w="0" w:type="dxa"/>
              <w:bottom w:w="0" w:type="dxa"/>
              <w:right w:w="0" w:type="dxa"/>
            </w:tcMar>
            <w:vAlign w:val="center"/>
          </w:tcPr>
          <w:p>
            <w:pPr>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二期班拟邀师资：</w:t>
            </w:r>
            <w:r>
              <w:rPr>
                <w:rFonts w:hint="eastAsia" w:ascii="宋体" w:hAnsi="宋体" w:eastAsia="宋体" w:cs="宋体"/>
                <w:b/>
                <w:bCs/>
                <w:color w:val="000000"/>
                <w:kern w:val="0"/>
                <w:sz w:val="24"/>
                <w:szCs w:val="24"/>
                <w:lang w:val="en-US" w:eastAsia="zh-CN"/>
              </w:rPr>
              <w:t>龟股军师+</w:t>
            </w:r>
            <w:r>
              <w:rPr>
                <w:rFonts w:hint="eastAsia" w:ascii="宋体" w:hAnsi="宋体" w:eastAsia="宋体" w:cs="宋体"/>
                <w:color w:val="000000"/>
                <w:kern w:val="0"/>
                <w:sz w:val="24"/>
                <w:szCs w:val="24"/>
                <w:lang w:val="en-US" w:eastAsia="zh-CN"/>
              </w:rPr>
              <w:t>花荣、严为民、洪榕、宇辉战舰、武汉刘正涛等</w:t>
            </w:r>
          </w:p>
        </w:tc>
      </w:tr>
    </w:tbl>
    <w:p>
      <w:pPr>
        <w:rPr>
          <w:rFonts w:hint="eastAsia" w:ascii="方正大黑简体" w:hAnsi="方正大黑简体" w:eastAsia="方正大黑简体" w:cs="方正大黑简体"/>
          <w:b/>
          <w:bCs/>
          <w:i w:val="0"/>
          <w:iCs w:val="0"/>
          <w:color w:val="FF0000"/>
          <w:sz w:val="32"/>
          <w:szCs w:val="32"/>
          <w:lang w:eastAsia="zh-CN"/>
        </w:rPr>
      </w:pPr>
      <w:r>
        <w:rPr>
          <w:rFonts w:hint="eastAsia" w:ascii="方正大黑简体" w:hAnsi="方正大黑简体" w:eastAsia="方正大黑简体" w:cs="方正大黑简体"/>
          <w:b/>
          <w:bCs/>
          <w:i w:val="0"/>
          <w:iCs w:val="0"/>
          <w:color w:val="FF0000"/>
          <w:sz w:val="32"/>
          <w:szCs w:val="32"/>
          <w:lang w:val="en-US" w:eastAsia="zh-CN"/>
        </w:rPr>
        <w:t>【</w:t>
      </w:r>
      <w:r>
        <w:rPr>
          <w:rFonts w:hint="eastAsia" w:ascii="方正大黑简体" w:hAnsi="方正大黑简体" w:eastAsia="方正大黑简体" w:cs="方正大黑简体"/>
          <w:b/>
          <w:bCs/>
          <w:i w:val="0"/>
          <w:iCs w:val="0"/>
          <w:color w:val="FF0000"/>
          <w:sz w:val="32"/>
          <w:szCs w:val="32"/>
          <w:lang w:eastAsia="zh-CN"/>
        </w:rPr>
        <w:t>学习收获】</w:t>
      </w:r>
    </w:p>
    <w:p>
      <w:pPr>
        <w:spacing w:line="360" w:lineRule="exact"/>
        <w:ind w:left="-422" w:leftChars="-201" w:firstLine="480" w:firstLineChars="200"/>
        <w:outlineLvl w:val="0"/>
        <w:rPr>
          <w:rFonts w:hint="eastAsia" w:ascii="方正大黑简体" w:hAnsi="方正大黑简体" w:eastAsia="方正大黑简体" w:cs="方正大黑简体"/>
          <w:b/>
          <w:bCs/>
          <w:i w:val="0"/>
          <w:iCs w:val="0"/>
          <w:color w:val="FF0000"/>
          <w:sz w:val="40"/>
          <w:szCs w:val="40"/>
          <w:lang w:eastAsia="zh-CN"/>
        </w:rPr>
      </w:pPr>
      <w:r>
        <w:rPr>
          <w:rFonts w:hint="eastAsia" w:ascii="微软雅黑" w:hAnsi="微软雅黑" w:eastAsia="微软雅黑"/>
          <w:b/>
          <w:bCs/>
          <w:color w:val="FF0000"/>
          <w:sz w:val="24"/>
          <w:szCs w:val="24"/>
          <w:lang w:val="en-US" w:eastAsia="zh-CN"/>
        </w:rPr>
        <w:t>低吸、低佣模式省出学费；高抛、快速复利模式财富倍增。</w:t>
      </w:r>
    </w:p>
    <w:p>
      <w:pPr>
        <w:spacing w:line="360" w:lineRule="auto"/>
        <w:jc w:val="left"/>
        <w:rPr>
          <w:rFonts w:cs="宋体"/>
          <w:sz w:val="24"/>
        </w:rPr>
      </w:pPr>
      <w:r>
        <w:rPr>
          <w:rFonts w:hint="eastAsia" w:cs="宋体"/>
          <w:sz w:val="24"/>
        </w:rPr>
        <w:t>解决</w:t>
      </w:r>
      <w:r>
        <w:rPr>
          <w:rFonts w:hint="eastAsia" w:cs="宋体"/>
          <w:sz w:val="24"/>
          <w:lang w:val="en-US" w:eastAsia="zh-CN"/>
        </w:rPr>
        <w:t>盈利</w:t>
      </w:r>
      <w:r>
        <w:rPr>
          <w:rFonts w:hint="eastAsia" w:cs="宋体"/>
          <w:sz w:val="24"/>
        </w:rPr>
        <w:t>问题：解决</w:t>
      </w:r>
      <w:r>
        <w:rPr>
          <w:rFonts w:hint="eastAsia" w:cs="宋体"/>
          <w:sz w:val="24"/>
          <w:lang w:val="en-US" w:eastAsia="zh-CN"/>
        </w:rPr>
        <w:t>投资亏损，掌握持续盈利模式</w:t>
      </w:r>
      <w:r>
        <w:rPr>
          <w:rFonts w:hint="eastAsia" w:cs="宋体"/>
          <w:sz w:val="24"/>
        </w:rPr>
        <w:t>。</w:t>
      </w:r>
    </w:p>
    <w:p>
      <w:pPr>
        <w:tabs>
          <w:tab w:val="right" w:pos="9020"/>
        </w:tabs>
        <w:spacing w:line="360" w:lineRule="auto"/>
        <w:jc w:val="left"/>
        <w:rPr>
          <w:rFonts w:hint="eastAsia" w:cs="宋体"/>
          <w:sz w:val="24"/>
          <w:lang w:val="en-US" w:eastAsia="zh-CN"/>
        </w:rPr>
      </w:pPr>
      <w:r>
        <w:rPr>
          <w:rFonts w:hint="eastAsia" w:cs="宋体"/>
          <w:sz w:val="24"/>
        </w:rPr>
        <w:t>缔结</w:t>
      </w:r>
      <w:r>
        <w:rPr>
          <w:rFonts w:hint="eastAsia" w:cs="宋体"/>
          <w:sz w:val="24"/>
          <w:lang w:val="en-US" w:eastAsia="zh-CN"/>
        </w:rPr>
        <w:t>实战</w:t>
      </w:r>
      <w:r>
        <w:rPr>
          <w:rFonts w:hint="eastAsia" w:cs="宋体"/>
          <w:sz w:val="24"/>
        </w:rPr>
        <w:t>信任：</w:t>
      </w:r>
      <w:r>
        <w:rPr>
          <w:rFonts w:hint="eastAsia" w:cs="宋体"/>
          <w:sz w:val="24"/>
          <w:lang w:val="en-US" w:eastAsia="zh-CN"/>
        </w:rPr>
        <w:t>三月实战相伴，强化稳定投资收益</w:t>
      </w:r>
      <w:r>
        <w:rPr>
          <w:rFonts w:hint="eastAsia" w:cs="宋体"/>
          <w:sz w:val="24"/>
        </w:rPr>
        <w:t>。</w:t>
      </w:r>
    </w:p>
    <w:p>
      <w:pPr>
        <w:tabs>
          <w:tab w:val="right" w:pos="9020"/>
        </w:tabs>
        <w:spacing w:line="360" w:lineRule="auto"/>
        <w:jc w:val="left"/>
        <w:rPr>
          <w:rFonts w:hint="eastAsia" w:cs="宋体"/>
          <w:sz w:val="24"/>
          <w:lang w:val="en-US" w:eastAsia="zh-CN"/>
        </w:rPr>
      </w:pPr>
      <w:r>
        <w:rPr>
          <w:rFonts w:hint="eastAsia" w:cs="宋体"/>
          <w:sz w:val="24"/>
          <w:lang w:val="en-US" w:eastAsia="zh-CN"/>
        </w:rPr>
        <w:t>并购一级支持：清控最优项目，优获一级市场资源。</w:t>
      </w:r>
    </w:p>
    <w:p>
      <w:pPr>
        <w:tabs>
          <w:tab w:val="right" w:pos="9020"/>
        </w:tabs>
        <w:spacing w:line="360" w:lineRule="auto"/>
        <w:jc w:val="left"/>
        <w:rPr>
          <w:rFonts w:hint="eastAsia" w:cs="宋体"/>
          <w:sz w:val="24"/>
          <w:lang w:val="en-US" w:eastAsia="zh-CN"/>
        </w:rPr>
      </w:pPr>
      <w:r>
        <w:rPr>
          <w:rFonts w:hint="eastAsia" w:cs="宋体"/>
          <w:sz w:val="24"/>
          <w:lang w:val="en-US" w:eastAsia="zh-CN"/>
        </w:rPr>
        <w:t>长期</w:t>
      </w:r>
      <w:r>
        <w:rPr>
          <w:rFonts w:hint="eastAsia" w:cs="宋体"/>
          <w:sz w:val="24"/>
        </w:rPr>
        <w:t>合作共赢：</w:t>
      </w:r>
      <w:r>
        <w:rPr>
          <w:rFonts w:hint="eastAsia" w:cs="宋体"/>
          <w:sz w:val="24"/>
          <w:lang w:val="en-US" w:eastAsia="zh-CN"/>
        </w:rPr>
        <w:t>资金专业搭理，减免个人投资烦恼。</w:t>
      </w:r>
    </w:p>
    <w:p>
      <w:pPr>
        <w:tabs>
          <w:tab w:val="right" w:pos="9020"/>
        </w:tabs>
        <w:spacing w:line="360" w:lineRule="auto"/>
        <w:jc w:val="left"/>
        <w:rPr>
          <w:rFonts w:hint="eastAsia" w:cs="宋体"/>
          <w:sz w:val="24"/>
          <w:lang w:val="en-US" w:eastAsia="zh-CN"/>
        </w:rPr>
      </w:pPr>
      <w:r>
        <w:rPr>
          <w:rFonts w:hint="eastAsia" w:cs="宋体"/>
          <w:sz w:val="24"/>
          <w:lang w:val="en-US" w:eastAsia="zh-CN"/>
        </w:rPr>
        <w:t>高净人群圈层：信息资金通道，提升品味成就卓越。</w:t>
      </w:r>
    </w:p>
    <w:p>
      <w:pPr>
        <w:rPr>
          <w:rFonts w:hint="eastAsia" w:ascii="方正大黑简体" w:hAnsi="方正大黑简体" w:eastAsia="方正大黑简体" w:cs="方正大黑简体"/>
          <w:b/>
          <w:bCs/>
          <w:i w:val="0"/>
          <w:iCs w:val="0"/>
          <w:color w:val="FF0000"/>
          <w:sz w:val="32"/>
          <w:szCs w:val="32"/>
          <w:lang w:eastAsia="zh-CN"/>
        </w:rPr>
      </w:pPr>
      <w:r>
        <w:rPr>
          <w:rFonts w:hint="eastAsia" w:ascii="方正大黑简体" w:hAnsi="方正大黑简体" w:eastAsia="方正大黑简体" w:cs="方正大黑简体"/>
          <w:b/>
          <w:bCs/>
          <w:i w:val="0"/>
          <w:iCs w:val="0"/>
          <w:color w:val="FF0000"/>
          <w:sz w:val="32"/>
          <w:szCs w:val="32"/>
          <w:lang w:eastAsia="zh-CN"/>
        </w:rPr>
        <w:t>【增值服务】</w:t>
      </w:r>
    </w:p>
    <w:p>
      <w:pPr>
        <w:spacing w:line="360" w:lineRule="auto"/>
        <w:rPr>
          <w:rFonts w:hint="eastAsia"/>
          <w:b/>
          <w:bCs/>
          <w:sz w:val="24"/>
          <w:lang w:val="en-US" w:eastAsia="zh-CN"/>
        </w:rPr>
      </w:pPr>
      <w:r>
        <w:rPr>
          <w:rFonts w:hint="eastAsia"/>
          <w:b/>
          <w:bCs/>
          <w:sz w:val="24"/>
          <w:lang w:val="en-US" w:eastAsia="zh-CN"/>
        </w:rPr>
        <w:t>最新投资逻辑研究报告分享     主升浪的参考指标</w:t>
      </w:r>
    </w:p>
    <w:p>
      <w:pPr>
        <w:spacing w:line="360" w:lineRule="auto"/>
        <w:rPr>
          <w:sz w:val="24"/>
        </w:rPr>
      </w:pPr>
      <w:r>
        <w:rPr>
          <w:rFonts w:hint="eastAsia"/>
          <w:b/>
          <w:bCs/>
          <w:sz w:val="24"/>
          <w:lang w:val="en-US" w:eastAsia="zh-CN"/>
        </w:rPr>
        <w:t>新开账户万1.6低佣支持        价值6800元的宏观经济</w:t>
      </w:r>
      <w:r>
        <w:rPr>
          <w:rFonts w:hint="eastAsia" w:cs="宋体"/>
          <w:b/>
          <w:bCs/>
          <w:sz w:val="24"/>
          <w:lang w:val="en-US" w:eastAsia="zh-CN"/>
        </w:rPr>
        <w:t>、并购、私募等课题任一课程</w:t>
      </w:r>
    </w:p>
    <w:p>
      <w:pPr>
        <w:rPr>
          <w:rFonts w:hint="eastAsia" w:ascii="方正大黑简体" w:hAnsi="方正大黑简体" w:eastAsia="方正大黑简体" w:cs="方正大黑简体"/>
          <w:b/>
          <w:bCs/>
          <w:i w:val="0"/>
          <w:iCs w:val="0"/>
          <w:color w:val="FF0000"/>
          <w:sz w:val="32"/>
          <w:szCs w:val="32"/>
          <w:lang w:eastAsia="zh-CN"/>
        </w:rPr>
      </w:pPr>
      <w:r>
        <w:rPr>
          <w:rFonts w:hint="eastAsia" w:ascii="方正大黑简体" w:hAnsi="方正大黑简体" w:eastAsia="方正大黑简体" w:cs="方正大黑简体"/>
          <w:b/>
          <w:bCs/>
          <w:i w:val="0"/>
          <w:iCs w:val="0"/>
          <w:color w:val="FF0000"/>
          <w:sz w:val="32"/>
          <w:szCs w:val="32"/>
          <w:lang w:val="en-US" w:eastAsia="zh-CN"/>
        </w:rPr>
        <w:t>【</w:t>
      </w:r>
      <w:r>
        <w:rPr>
          <w:rFonts w:hint="eastAsia" w:ascii="方正大黑简体" w:hAnsi="方正大黑简体" w:eastAsia="方正大黑简体" w:cs="方正大黑简体"/>
          <w:b/>
          <w:bCs/>
          <w:i w:val="0"/>
          <w:iCs w:val="0"/>
          <w:color w:val="FF0000"/>
          <w:sz w:val="32"/>
          <w:szCs w:val="32"/>
          <w:lang w:eastAsia="zh-CN"/>
        </w:rPr>
        <w:t>学习</w:t>
      </w:r>
      <w:r>
        <w:rPr>
          <w:rFonts w:hint="eastAsia" w:ascii="方正大黑简体" w:hAnsi="方正大黑简体" w:eastAsia="方正大黑简体" w:cs="方正大黑简体"/>
          <w:b/>
          <w:bCs/>
          <w:i w:val="0"/>
          <w:iCs w:val="0"/>
          <w:color w:val="FF0000"/>
          <w:sz w:val="32"/>
          <w:szCs w:val="32"/>
          <w:lang w:val="en-US" w:eastAsia="zh-CN"/>
        </w:rPr>
        <w:t>费用</w:t>
      </w:r>
      <w:r>
        <w:rPr>
          <w:rFonts w:hint="eastAsia" w:ascii="方正大黑简体" w:hAnsi="方正大黑简体" w:eastAsia="方正大黑简体" w:cs="方正大黑简体"/>
          <w:b/>
          <w:bCs/>
          <w:i w:val="0"/>
          <w:iCs w:val="0"/>
          <w:color w:val="FF0000"/>
          <w:sz w:val="32"/>
          <w:szCs w:val="32"/>
          <w:lang w:eastAsia="zh-CN"/>
        </w:rPr>
        <w:t>】</w:t>
      </w:r>
    </w:p>
    <w:p>
      <w:pPr>
        <w:tabs>
          <w:tab w:val="right" w:pos="9020"/>
        </w:tabs>
        <w:spacing w:line="360" w:lineRule="auto"/>
        <w:jc w:val="left"/>
        <w:rPr>
          <w:rFonts w:hint="eastAsia" w:cs="宋体"/>
          <w:sz w:val="24"/>
          <w:lang w:val="en-US" w:eastAsia="zh-CN"/>
        </w:rPr>
      </w:pPr>
      <w:r>
        <w:rPr>
          <w:rFonts w:hint="eastAsia" w:cs="宋体"/>
          <w:sz w:val="24"/>
          <w:lang w:val="en-US" w:eastAsia="zh-CN"/>
        </w:rPr>
        <w:t>RMB 51800元/人/次（本期特惠到</w:t>
      </w:r>
      <w:r>
        <w:rPr>
          <w:rFonts w:hint="eastAsia" w:asciiTheme="minorEastAsia" w:hAnsiTheme="minorEastAsia" w:eastAsiaTheme="minorEastAsia" w:cstheme="minorEastAsia"/>
          <w:b/>
          <w:bCs/>
          <w:color w:val="FF0000"/>
          <w:sz w:val="24"/>
          <w:lang w:val="en-US" w:eastAsia="zh-CN"/>
        </w:rPr>
        <w:t>2.</w:t>
      </w:r>
      <w:r>
        <w:rPr>
          <w:rFonts w:hint="eastAsia" w:asciiTheme="minorEastAsia" w:hAnsiTheme="minorEastAsia" w:cstheme="minorEastAsia"/>
          <w:b/>
          <w:bCs/>
          <w:color w:val="FF0000"/>
          <w:sz w:val="24"/>
          <w:lang w:val="en-US" w:eastAsia="zh-CN"/>
        </w:rPr>
        <w:t>18</w:t>
      </w:r>
      <w:r>
        <w:rPr>
          <w:rFonts w:hint="eastAsia" w:asciiTheme="minorEastAsia" w:hAnsiTheme="minorEastAsia" w:eastAsiaTheme="minorEastAsia" w:cstheme="minorEastAsia"/>
          <w:b/>
          <w:bCs/>
          <w:color w:val="FF0000"/>
          <w:sz w:val="24"/>
          <w:lang w:val="en-US" w:eastAsia="zh-CN"/>
        </w:rPr>
        <w:t>万/人</w:t>
      </w:r>
      <w:r>
        <w:rPr>
          <w:rFonts w:hint="eastAsia" w:cs="宋体"/>
          <w:sz w:val="24"/>
          <w:lang w:val="en-US" w:eastAsia="zh-CN"/>
        </w:rPr>
        <w:t>，含一次的教学、教材、资料，三个月实战辅导，包含两午餐一晚宴费用，交通住宿费用自理）</w:t>
      </w:r>
    </w:p>
    <w:p>
      <w:pPr>
        <w:tabs>
          <w:tab w:val="right" w:pos="9020"/>
        </w:tabs>
        <w:spacing w:line="360" w:lineRule="auto"/>
        <w:jc w:val="left"/>
        <w:rPr>
          <w:rFonts w:hint="eastAsia" w:cs="宋体"/>
          <w:b/>
          <w:bCs/>
          <w:color w:val="FF0000"/>
          <w:sz w:val="24"/>
          <w:lang w:val="en-US" w:eastAsia="zh-CN"/>
        </w:rPr>
      </w:pPr>
      <w:r>
        <w:rPr>
          <w:rFonts w:hint="eastAsia" w:cs="宋体"/>
          <w:b/>
          <w:bCs/>
          <w:color w:val="FF0000"/>
          <w:sz w:val="24"/>
          <w:lang w:val="en-US" w:eastAsia="zh-CN"/>
        </w:rPr>
        <w:t>教学方式：</w:t>
      </w:r>
    </w:p>
    <w:p>
      <w:pPr>
        <w:tabs>
          <w:tab w:val="right" w:pos="9020"/>
        </w:tabs>
        <w:spacing w:line="360" w:lineRule="auto"/>
        <w:jc w:val="left"/>
        <w:rPr>
          <w:rFonts w:hint="eastAsia" w:cs="宋体"/>
          <w:sz w:val="24"/>
          <w:lang w:val="en-US" w:eastAsia="zh-CN"/>
        </w:rPr>
      </w:pPr>
      <w:r>
        <w:rPr>
          <w:rFonts w:hint="eastAsia" w:cs="宋体"/>
          <w:b/>
          <w:bCs/>
          <w:color w:val="FF0000"/>
          <w:sz w:val="24"/>
          <w:lang w:val="en-US" w:eastAsia="zh-CN"/>
        </w:rPr>
        <w:t>第一步（课前）：</w:t>
      </w:r>
      <w:r>
        <w:rPr>
          <w:rFonts w:hint="eastAsia" w:cs="宋体"/>
          <w:b/>
          <w:bCs/>
          <w:color w:val="auto"/>
          <w:sz w:val="24"/>
          <w:lang w:val="en-US" w:eastAsia="zh-CN"/>
        </w:rPr>
        <w:t>5月18日前</w:t>
      </w:r>
      <w:r>
        <w:rPr>
          <w:rFonts w:hint="eastAsia" w:cs="宋体"/>
          <w:sz w:val="24"/>
          <w:lang w:val="en-US" w:eastAsia="zh-CN"/>
        </w:rPr>
        <w:t>报名缴费提前入群，并发送实战教学视屏和参考标的，</w:t>
      </w:r>
      <w:r>
        <w:rPr>
          <w:rFonts w:hint="eastAsia" w:cs="宋体"/>
          <w:b/>
          <w:bCs/>
          <w:sz w:val="24"/>
          <w:lang w:val="en-US" w:eastAsia="zh-CN"/>
        </w:rPr>
        <w:t>6月1日-30日</w:t>
      </w:r>
      <w:r>
        <w:rPr>
          <w:rFonts w:hint="eastAsia" w:cs="宋体"/>
          <w:sz w:val="24"/>
          <w:lang w:val="en-US" w:eastAsia="zh-CN"/>
        </w:rPr>
        <w:t>，课前微信群进行股池分享和标的的操作策略。</w:t>
      </w:r>
      <w:r>
        <w:rPr>
          <w:rFonts w:hint="eastAsia" w:cs="宋体"/>
          <w:b/>
          <w:bCs/>
          <w:color w:val="FF0000"/>
          <w:sz w:val="24"/>
          <w:lang w:val="en-US" w:eastAsia="zh-CN"/>
        </w:rPr>
        <w:t>要求：</w:t>
      </w:r>
      <w:r>
        <w:rPr>
          <w:rFonts w:hint="eastAsia" w:cs="宋体"/>
          <w:color w:val="FF0000"/>
          <w:sz w:val="24"/>
          <w:lang w:val="en-US" w:eastAsia="zh-CN"/>
        </w:rPr>
        <w:t>资金控制在10万以内，按教授方法矫正原有买卖模式实现收益，体验学习仓位控制对盈利直接作用，避免理解有误发生损失。</w:t>
      </w:r>
    </w:p>
    <w:p>
      <w:pPr>
        <w:tabs>
          <w:tab w:val="right" w:pos="9020"/>
        </w:tabs>
        <w:spacing w:line="360" w:lineRule="auto"/>
        <w:jc w:val="left"/>
        <w:rPr>
          <w:rFonts w:hint="eastAsia" w:cs="宋体"/>
          <w:sz w:val="24"/>
          <w:lang w:val="en-US" w:eastAsia="zh-CN"/>
        </w:rPr>
      </w:pPr>
      <w:r>
        <w:rPr>
          <w:rFonts w:hint="eastAsia" w:cs="宋体"/>
          <w:b/>
          <w:bCs/>
          <w:color w:val="FF0000"/>
          <w:sz w:val="24"/>
          <w:lang w:val="en-US" w:eastAsia="zh-CN"/>
        </w:rPr>
        <w:t>第二步（上课）：6月28-29日，</w:t>
      </w:r>
      <w:r>
        <w:rPr>
          <w:rFonts w:hint="eastAsia" w:cs="宋体"/>
          <w:sz w:val="24"/>
          <w:lang w:val="en-US" w:eastAsia="zh-CN"/>
        </w:rPr>
        <w:t>实战体验后回炉再造重新升华，集中面授两天，解答同学疑问，（课程期间不做买卖指导，不集中交易，避免发生操纵市场价格嫌疑）</w:t>
      </w:r>
    </w:p>
    <w:p>
      <w:pPr>
        <w:tabs>
          <w:tab w:val="right" w:pos="9020"/>
        </w:tabs>
        <w:spacing w:line="360" w:lineRule="auto"/>
        <w:jc w:val="left"/>
        <w:rPr>
          <w:rFonts w:hint="eastAsia" w:cs="宋体"/>
          <w:sz w:val="24"/>
          <w:lang w:val="en-US" w:eastAsia="zh-CN"/>
        </w:rPr>
      </w:pPr>
      <w:r>
        <w:rPr>
          <w:rFonts w:hint="eastAsia" w:cs="宋体"/>
          <w:b/>
          <w:bCs/>
          <w:color w:val="FF0000"/>
          <w:sz w:val="24"/>
          <w:lang w:val="en-US" w:eastAsia="zh-CN"/>
        </w:rPr>
        <w:t>第三步（课后）：7月1日-8月31日，</w:t>
      </w:r>
      <w:r>
        <w:rPr>
          <w:rFonts w:hint="eastAsia" w:cs="宋体"/>
          <w:sz w:val="24"/>
          <w:lang w:val="en-US" w:eastAsia="zh-CN"/>
        </w:rPr>
        <w:t>集中学习完成后，结合所学内容融会消化，强化训练，就所学习的内容遇到问题部分微信或者一直播答疑。</w:t>
      </w:r>
    </w:p>
    <w:p>
      <w:pPr>
        <w:tabs>
          <w:tab w:val="right" w:pos="9020"/>
        </w:tabs>
        <w:spacing w:line="360" w:lineRule="auto"/>
        <w:jc w:val="left"/>
        <w:rPr>
          <w:rFonts w:hint="eastAsia" w:cs="宋体"/>
          <w:sz w:val="24"/>
          <w:lang w:val="en-US" w:eastAsia="zh-CN"/>
        </w:rPr>
      </w:pPr>
      <w:r>
        <w:rPr>
          <w:rFonts w:hint="eastAsia" w:cs="宋体"/>
          <w:sz w:val="24"/>
          <w:lang w:val="en-US" w:eastAsia="zh-CN"/>
        </w:rPr>
        <w:t>收费方式：入学前由优清商学院财务部统一收取，学费到帐后统一开具发票。</w:t>
      </w:r>
    </w:p>
    <w:p>
      <w:pPr>
        <w:rPr>
          <w:rFonts w:hint="eastAsia" w:ascii="方正大黑简体" w:hAnsi="方正大黑简体" w:eastAsia="方正大黑简体" w:cs="方正大黑简体"/>
          <w:b/>
          <w:bCs/>
          <w:i w:val="0"/>
          <w:iCs w:val="0"/>
          <w:color w:val="FF0000"/>
          <w:sz w:val="32"/>
          <w:szCs w:val="32"/>
          <w:lang w:eastAsia="zh-CN"/>
        </w:rPr>
      </w:pPr>
      <w:r>
        <w:rPr>
          <w:rFonts w:hint="eastAsia" w:ascii="方正大黑简体" w:hAnsi="方正大黑简体" w:eastAsia="方正大黑简体" w:cs="方正大黑简体"/>
          <w:b/>
          <w:bCs/>
          <w:i w:val="0"/>
          <w:iCs w:val="0"/>
          <w:color w:val="FF0000"/>
          <w:sz w:val="32"/>
          <w:szCs w:val="32"/>
          <w:lang w:val="en-US" w:eastAsia="zh-CN"/>
        </w:rPr>
        <w:t>【招生对象</w:t>
      </w:r>
      <w:r>
        <w:rPr>
          <w:rFonts w:hint="eastAsia" w:ascii="方正大黑简体" w:hAnsi="方正大黑简体" w:eastAsia="方正大黑简体" w:cs="方正大黑简体"/>
          <w:b/>
          <w:bCs/>
          <w:i w:val="0"/>
          <w:iCs w:val="0"/>
          <w:color w:val="FF0000"/>
          <w:sz w:val="32"/>
          <w:szCs w:val="32"/>
          <w:lang w:eastAsia="zh-CN"/>
        </w:rPr>
        <w:t>】</w:t>
      </w:r>
    </w:p>
    <w:p>
      <w:pPr>
        <w:tabs>
          <w:tab w:val="right" w:pos="9020"/>
        </w:tabs>
        <w:spacing w:line="360" w:lineRule="auto"/>
        <w:jc w:val="left"/>
        <w:rPr>
          <w:rFonts w:hint="eastAsia" w:cs="宋体"/>
          <w:sz w:val="24"/>
          <w:lang w:val="en-US" w:eastAsia="zh-CN"/>
        </w:rPr>
      </w:pPr>
      <w:r>
        <w:rPr>
          <w:rFonts w:hint="eastAsia" w:cs="宋体"/>
          <w:sz w:val="24"/>
          <w:lang w:val="en-US" w:eastAsia="zh-CN"/>
        </w:rPr>
        <w:t>企业高管；银行、证券等金融机构的决策者及高级管理者； 上市公司和拟上市公司的高层管理者； 各类从事实业、基金或投资管理的专业人士；机构投资者；中小投资者</w:t>
      </w:r>
    </w:p>
    <w:p>
      <w:pPr>
        <w:rPr>
          <w:rFonts w:hint="eastAsia" w:ascii="方正大黑简体" w:hAnsi="方正大黑简体" w:eastAsia="方正大黑简体" w:cs="方正大黑简体"/>
          <w:b/>
          <w:bCs/>
          <w:i w:val="0"/>
          <w:iCs w:val="0"/>
          <w:color w:val="FF0000"/>
          <w:sz w:val="32"/>
          <w:szCs w:val="32"/>
          <w:lang w:eastAsia="zh-CN"/>
        </w:rPr>
      </w:pPr>
      <w:r>
        <w:rPr>
          <w:rFonts w:hint="eastAsia" w:ascii="方正大黑简体" w:hAnsi="方正大黑简体" w:eastAsia="方正大黑简体" w:cs="方正大黑简体"/>
          <w:b/>
          <w:bCs/>
          <w:i w:val="0"/>
          <w:iCs w:val="0"/>
          <w:color w:val="FF0000"/>
          <w:sz w:val="32"/>
          <w:szCs w:val="32"/>
          <w:lang w:val="en-US" w:eastAsia="zh-CN"/>
        </w:rPr>
        <w:t>【课程咨询</w:t>
      </w:r>
      <w:r>
        <w:rPr>
          <w:rFonts w:hint="eastAsia" w:ascii="方正大黑简体" w:hAnsi="方正大黑简体" w:eastAsia="方正大黑简体" w:cs="方正大黑简体"/>
          <w:b/>
          <w:bCs/>
          <w:i w:val="0"/>
          <w:iCs w:val="0"/>
          <w:color w:val="FF0000"/>
          <w:sz w:val="32"/>
          <w:szCs w:val="32"/>
          <w:lang w:eastAsia="zh-CN"/>
        </w:rPr>
        <w:t>】</w:t>
      </w:r>
    </w:p>
    <w:p>
      <w:pPr>
        <w:tabs>
          <w:tab w:val="right" w:pos="9020"/>
        </w:tabs>
        <w:spacing w:line="360" w:lineRule="auto"/>
        <w:jc w:val="left"/>
        <w:rPr>
          <w:rFonts w:hint="eastAsia" w:cs="宋体"/>
          <w:sz w:val="24"/>
          <w:lang w:val="en-US" w:eastAsia="zh-CN"/>
        </w:rPr>
      </w:pPr>
      <w:r>
        <w:rPr>
          <w:rFonts w:hint="eastAsia" w:cs="宋体"/>
          <w:sz w:val="24"/>
          <w:lang w:val="en-US" w:eastAsia="zh-CN"/>
        </w:rPr>
        <w:t>联 系 人：赵老师 15911037933（微信同号）</w:t>
      </w:r>
    </w:p>
    <w:p>
      <w:pPr>
        <w:tabs>
          <w:tab w:val="right" w:pos="9020"/>
        </w:tabs>
        <w:spacing w:line="360" w:lineRule="auto"/>
        <w:jc w:val="left"/>
        <w:rPr>
          <w:rFonts w:hint="eastAsia" w:ascii="宋体" w:hAnsi="宋体"/>
          <w:b/>
          <w:bCs w:val="0"/>
          <w:sz w:val="36"/>
          <w:szCs w:val="36"/>
          <w:lang w:eastAsia="zh-CN"/>
        </w:rPr>
      </w:pPr>
      <w:r>
        <w:rPr>
          <w:rFonts w:hint="eastAsia" w:cs="宋体"/>
          <w:sz w:val="24"/>
          <w:lang w:val="en-US" w:eastAsia="zh-CN"/>
        </w:rPr>
        <w:t>报名邮箱：</w:t>
      </w:r>
      <w:r>
        <w:rPr>
          <w:rFonts w:hint="eastAsia" w:cs="宋体"/>
          <w:sz w:val="24"/>
          <w:lang w:val="en-US" w:eastAsia="zh-CN"/>
        </w:rPr>
        <w:fldChar w:fldCharType="begin"/>
      </w:r>
      <w:r>
        <w:rPr>
          <w:rFonts w:hint="eastAsia" w:cs="宋体"/>
          <w:sz w:val="24"/>
          <w:lang w:val="en-US" w:eastAsia="zh-CN"/>
        </w:rPr>
        <w:instrText xml:space="preserve"> HYPERLINK "mailto:qinghuadaxueyx@163.com" </w:instrText>
      </w:r>
      <w:r>
        <w:rPr>
          <w:rFonts w:hint="eastAsia" w:cs="宋体"/>
          <w:sz w:val="24"/>
          <w:lang w:val="en-US" w:eastAsia="zh-CN"/>
        </w:rPr>
        <w:fldChar w:fldCharType="separate"/>
      </w:r>
      <w:r>
        <w:rPr>
          <w:rStyle w:val="7"/>
          <w:rFonts w:hint="eastAsia" w:cs="宋体"/>
          <w:sz w:val="24"/>
          <w:lang w:val="en-US" w:eastAsia="zh-CN"/>
        </w:rPr>
        <w:t>qinghuadaxueyx@163.com</w:t>
      </w:r>
      <w:r>
        <w:rPr>
          <w:rFonts w:hint="eastAsia" w:cs="宋体"/>
          <w:sz w:val="24"/>
          <w:lang w:val="en-US" w:eastAsia="zh-CN"/>
        </w:rPr>
        <w:fldChar w:fldCharType="end"/>
      </w:r>
      <w:r>
        <w:rPr>
          <w:rFonts w:hint="eastAsia" w:cs="宋体"/>
          <w:sz w:val="24"/>
          <w:lang w:val="en-US" w:eastAsia="zh-CN"/>
        </w:rPr>
        <w:t xml:space="preserve">     </w:t>
      </w:r>
      <w:r>
        <w:rPr>
          <w:rFonts w:hint="eastAsia" w:cs="宋体"/>
          <w:sz w:val="24"/>
          <w:lang w:val="en-US" w:eastAsia="zh-CN"/>
        </w:rPr>
        <w:fldChar w:fldCharType="begin"/>
      </w:r>
      <w:r>
        <w:rPr>
          <w:rFonts w:hint="eastAsia" w:cs="宋体"/>
          <w:sz w:val="24"/>
          <w:lang w:val="en-US" w:eastAsia="zh-CN"/>
        </w:rPr>
        <w:instrText xml:space="preserve"> HYPERLINK "mailto:2889303302@qq.com" </w:instrText>
      </w:r>
      <w:r>
        <w:rPr>
          <w:rFonts w:hint="eastAsia" w:cs="宋体"/>
          <w:sz w:val="24"/>
          <w:lang w:val="en-US" w:eastAsia="zh-CN"/>
        </w:rPr>
        <w:fldChar w:fldCharType="separate"/>
      </w:r>
      <w:r>
        <w:rPr>
          <w:rStyle w:val="7"/>
          <w:rFonts w:hint="eastAsia" w:cs="宋体"/>
          <w:sz w:val="24"/>
          <w:lang w:val="en-US" w:eastAsia="zh-CN"/>
        </w:rPr>
        <w:t>2889303302@qq.com</w:t>
      </w:r>
      <w:r>
        <w:rPr>
          <w:rFonts w:hint="eastAsia" w:cs="宋体"/>
          <w:sz w:val="24"/>
          <w:lang w:val="en-US" w:eastAsia="zh-CN"/>
        </w:rPr>
        <w:fldChar w:fldCharType="end"/>
      </w:r>
      <w:r>
        <w:rPr>
          <w:rFonts w:hint="eastAsia" w:cs="宋体"/>
          <w:sz w:val="24"/>
          <w:lang w:val="en-US" w:eastAsia="zh-CN"/>
        </w:rPr>
        <w:t xml:space="preserve"> </w:t>
      </w:r>
    </w:p>
    <w:p>
      <w:pPr>
        <w:spacing w:line="360" w:lineRule="auto"/>
        <w:jc w:val="center"/>
        <w:rPr>
          <w:rFonts w:hint="eastAsia" w:ascii="宋体" w:hAnsi="宋体"/>
          <w:b/>
          <w:sz w:val="36"/>
          <w:szCs w:val="36"/>
        </w:rPr>
      </w:pPr>
      <w:r>
        <w:rPr>
          <w:rFonts w:hint="eastAsia" w:ascii="宋体" w:hAnsi="宋体"/>
          <w:b/>
          <w:bCs w:val="0"/>
          <w:sz w:val="36"/>
          <w:szCs w:val="36"/>
          <w:lang w:val="en-US" w:eastAsia="zh-CN"/>
        </w:rPr>
        <w:t>骑马擒牛实战特训营</w:t>
      </w:r>
      <w:r>
        <w:rPr>
          <w:rFonts w:hint="eastAsia" w:ascii="宋体" w:hAnsi="宋体"/>
          <w:b/>
          <w:bCs w:val="0"/>
          <w:sz w:val="36"/>
          <w:szCs w:val="36"/>
          <w:lang w:eastAsia="zh-CN"/>
        </w:rPr>
        <w:t>报名</w:t>
      </w:r>
      <w:r>
        <w:rPr>
          <w:rFonts w:hint="eastAsia" w:ascii="宋体" w:hAnsi="宋体"/>
          <w:b/>
          <w:bCs w:val="0"/>
          <w:sz w:val="36"/>
          <w:szCs w:val="36"/>
        </w:rPr>
        <w:t>登记表</w:t>
      </w:r>
    </w:p>
    <w:tbl>
      <w:tblPr>
        <w:tblStyle w:val="8"/>
        <w:tblpPr w:leftFromText="180" w:rightFromText="180" w:vertAnchor="text" w:horzAnchor="page" w:tblpX="1358" w:tblpY="112"/>
        <w:tblW w:w="946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21"/>
        <w:gridCol w:w="707"/>
        <w:gridCol w:w="1836"/>
        <w:gridCol w:w="283"/>
        <w:gridCol w:w="847"/>
        <w:gridCol w:w="1695"/>
        <w:gridCol w:w="426"/>
        <w:gridCol w:w="704"/>
        <w:gridCol w:w="14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460" w:type="dxa"/>
            <w:gridSpan w:val="9"/>
            <w:tcBorders>
              <w:top w:val="single" w:color="000000" w:sz="4" w:space="0"/>
              <w:left w:val="single" w:color="000000" w:sz="4" w:space="0"/>
              <w:bottom w:val="single" w:color="000000" w:sz="4" w:space="0"/>
              <w:right w:val="single" w:color="000000" w:sz="4" w:space="0"/>
            </w:tcBorders>
            <w:shd w:val="clear" w:color="auto" w:fill="FF0000"/>
            <w:vAlign w:val="center"/>
          </w:tcPr>
          <w:p>
            <w:pPr>
              <w:jc w:val="center"/>
              <w:rPr>
                <w:b/>
                <w:sz w:val="24"/>
              </w:rPr>
            </w:pPr>
            <w:r>
              <w:rPr>
                <w:rFonts w:hint="eastAsia"/>
                <w:b/>
                <w:sz w:val="24"/>
              </w:rPr>
              <w:t>个人资料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678" w:hRule="atLeast"/>
        </w:trPr>
        <w:tc>
          <w:tcPr>
            <w:tcW w:w="1521"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姓</w:t>
            </w:r>
            <w:r>
              <w:rPr>
                <w:szCs w:val="21"/>
              </w:rPr>
              <w:t xml:space="preserve">    </w:t>
            </w:r>
            <w:r>
              <w:rPr>
                <w:rFonts w:hint="eastAsia"/>
                <w:szCs w:val="21"/>
              </w:rPr>
              <w:t>名</w:t>
            </w:r>
          </w:p>
        </w:tc>
        <w:tc>
          <w:tcPr>
            <w:tcW w:w="2543" w:type="dxa"/>
            <w:gridSpan w:val="2"/>
            <w:tcBorders>
              <w:top w:val="single" w:color="000000" w:sz="4" w:space="0"/>
              <w:left w:val="single" w:color="000000" w:sz="4" w:space="0"/>
              <w:bottom w:val="single" w:color="000000" w:sz="4" w:space="0"/>
              <w:right w:val="single" w:color="000000" w:sz="4" w:space="0"/>
            </w:tcBorders>
          </w:tcP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pPr>
              <w:jc w:val="center"/>
              <w:rPr>
                <w:szCs w:val="21"/>
              </w:rPr>
            </w:pPr>
            <w:r>
              <w:rPr>
                <w:rFonts w:hint="eastAsia"/>
                <w:szCs w:val="21"/>
              </w:rPr>
              <w:t>英文名</w:t>
            </w:r>
          </w:p>
          <w:p>
            <w:pPr>
              <w:jc w:val="center"/>
            </w:pPr>
            <w:r>
              <w:rPr>
                <w:rFonts w:hint="eastAsia"/>
                <w:szCs w:val="21"/>
              </w:rPr>
              <w:t>（如有）</w:t>
            </w:r>
          </w:p>
        </w:tc>
        <w:tc>
          <w:tcPr>
            <w:tcW w:w="4266" w:type="dxa"/>
            <w:gridSpan w:val="4"/>
            <w:tcBorders>
              <w:top w:val="single" w:color="000000" w:sz="4" w:space="0"/>
              <w:left w:val="single" w:color="000000" w:sz="4" w:space="0"/>
              <w:bottom w:val="single" w:color="000000" w:sz="4" w:space="0"/>
              <w:right w:val="single" w:color="000000" w:sz="4"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9" w:hRule="atLeast"/>
        </w:trPr>
        <w:tc>
          <w:tcPr>
            <w:tcW w:w="1521"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身份证件种类</w:t>
            </w:r>
          </w:p>
        </w:tc>
        <w:tc>
          <w:tcPr>
            <w:tcW w:w="7939" w:type="dxa"/>
            <w:gridSpan w:val="8"/>
            <w:tcBorders>
              <w:top w:val="single" w:color="000000" w:sz="4" w:space="0"/>
              <w:left w:val="single" w:color="000000" w:sz="4" w:space="0"/>
              <w:bottom w:val="single" w:color="000000" w:sz="4" w:space="0"/>
              <w:right w:val="single" w:color="000000" w:sz="4" w:space="0"/>
            </w:tcBorders>
            <w:vAlign w:val="bottom"/>
          </w:tcPr>
          <w:p>
            <w:r>
              <mc:AlternateContent>
                <mc:Choice Requires="wps">
                  <w:drawing>
                    <wp:anchor distT="0" distB="0" distL="114300" distR="114300" simplePos="0" relativeHeight="251835392" behindDoc="0" locked="0" layoutInCell="1" allowOverlap="1">
                      <wp:simplePos x="0" y="0"/>
                      <wp:positionH relativeFrom="column">
                        <wp:posOffset>589915</wp:posOffset>
                      </wp:positionH>
                      <wp:positionV relativeFrom="paragraph">
                        <wp:posOffset>49530</wp:posOffset>
                      </wp:positionV>
                      <wp:extent cx="114300" cy="104775"/>
                      <wp:effectExtent l="4445" t="4445" r="14605" b="5080"/>
                      <wp:wrapNone/>
                      <wp:docPr id="10" name="Rectangle 7"/>
                      <wp:cNvGraphicFramePr/>
                      <a:graphic xmlns:a="http://schemas.openxmlformats.org/drawingml/2006/main">
                        <a:graphicData uri="http://schemas.microsoft.com/office/word/2010/wordprocessingShape">
                          <wps:wsp>
                            <wps:cNvSpPr/>
                            <wps:spPr>
                              <a:xfrm>
                                <a:off x="0" y="0"/>
                                <a:ext cx="114300" cy="104775"/>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Rectangle 7" o:spid="_x0000_s1026" o:spt="1" style="position:absolute;left:0pt;margin-left:46.45pt;margin-top:3.9pt;height:8.25pt;width:9pt;z-index:251835392;mso-width-relative:page;mso-height-relative:page;" filled="f" stroked="t" coordsize="21600,21600" o:gfxdata="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gjQLatQAAAAHAQAADwAAAAAAAAABACAAAAAi&#10;AAAAZHJzL2Rvd25yZXYueG1sUEsBAhQAFAAAAAgAh07iQCF7k4HVAQAAuAMAAA4AAAAAAAAAAQAg&#10;AAAAIwEAAGRycy9lMm9Eb2MueG1sUEsFBgAAAAAGAAYAWQEAAGoFAAAAAA==&#10;">
                      <v:fill on="f" focussize="0,0"/>
                      <v:stroke color="#000000" joinstyle="miter"/>
                      <v:imagedata o:title=""/>
                      <o:lock v:ext="edit" aspectratio="f"/>
                    </v:rect>
                  </w:pict>
                </mc:Fallback>
              </mc:AlternateContent>
            </w:r>
            <w:r>
              <mc:AlternateContent>
                <mc:Choice Requires="wps">
                  <w:drawing>
                    <wp:anchor distT="0" distB="0" distL="114300" distR="114300" simplePos="0" relativeHeight="251836416" behindDoc="0" locked="0" layoutInCell="1" allowOverlap="1">
                      <wp:simplePos x="0" y="0"/>
                      <wp:positionH relativeFrom="column">
                        <wp:posOffset>3181985</wp:posOffset>
                      </wp:positionH>
                      <wp:positionV relativeFrom="paragraph">
                        <wp:posOffset>41275</wp:posOffset>
                      </wp:positionV>
                      <wp:extent cx="114300" cy="104775"/>
                      <wp:effectExtent l="4445" t="4445" r="14605" b="5080"/>
                      <wp:wrapNone/>
                      <wp:docPr id="11" name="矩形 11"/>
                      <wp:cNvGraphicFramePr/>
                      <a:graphic xmlns:a="http://schemas.openxmlformats.org/drawingml/2006/main">
                        <a:graphicData uri="http://schemas.microsoft.com/office/word/2010/wordprocessingShape">
                          <wps:wsp>
                            <wps:cNvSpPr/>
                            <wps:spPr>
                              <a:xfrm>
                                <a:off x="0" y="0"/>
                                <a:ext cx="114300" cy="104775"/>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250.55pt;margin-top:3.25pt;height:8.25pt;width:9pt;z-index:251836416;mso-width-relative:page;mso-height-relative:page;" filled="f" stroked="t" coordsize="21600,21600" o:gfxdata="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B6sxWS1gAAAAgBAAAP&#10;AAAAAAAAAAEAIAAAACIAAABkcnMvZG93bnJldi54bWxQSwECFAAUAAAACACHTuJA1Ve+2eEBAAC2&#10;AwAADgAAAAAAAAABACAAAAAlAQAAZHJzL2Uyb0RvYy54bWxQSwUGAAAAAAYABgBZAQAAeAUAAAAA&#10;">
                      <v:fill on="f" focussize="0,0"/>
                      <v:stroke color="#000000" joinstyle="miter"/>
                      <v:imagedata o:title=""/>
                      <o:lock v:ext="edit" aspectratio="f"/>
                    </v:rect>
                  </w:pict>
                </mc:Fallback>
              </mc:AlternateContent>
            </w:r>
            <w:r>
              <mc:AlternateContent>
                <mc:Choice Requires="wps">
                  <w:drawing>
                    <wp:anchor distT="0" distB="0" distL="114300" distR="114300" simplePos="0" relativeHeight="251837440" behindDoc="0" locked="0" layoutInCell="1" allowOverlap="1">
                      <wp:simplePos x="0" y="0"/>
                      <wp:positionH relativeFrom="column">
                        <wp:posOffset>1517650</wp:posOffset>
                      </wp:positionH>
                      <wp:positionV relativeFrom="paragraph">
                        <wp:posOffset>49530</wp:posOffset>
                      </wp:positionV>
                      <wp:extent cx="114300" cy="104775"/>
                      <wp:effectExtent l="4445" t="4445" r="14605" b="5080"/>
                      <wp:wrapNone/>
                      <wp:docPr id="12" name="矩形 12"/>
                      <wp:cNvGraphicFramePr/>
                      <a:graphic xmlns:a="http://schemas.openxmlformats.org/drawingml/2006/main">
                        <a:graphicData uri="http://schemas.microsoft.com/office/word/2010/wordprocessingShape">
                          <wps:wsp>
                            <wps:cNvSpPr/>
                            <wps:spPr>
                              <a:xfrm>
                                <a:off x="0" y="0"/>
                                <a:ext cx="114300" cy="104775"/>
                              </a:xfrm>
                              <a:prstGeom prst="rect">
                                <a:avLst/>
                              </a:prstGeom>
                              <a:noFill/>
                              <a:ln w="9525" cap="flat" cmpd="sng">
                                <a:solidFill>
                                  <a:srgbClr val="000000"/>
                                </a:solidFill>
                                <a:prstDash val="solid"/>
                                <a:miter/>
                                <a:headEnd type="none" w="med" len="med"/>
                                <a:tailEnd type="none" w="med" len="med"/>
                              </a:ln>
                              <a:effectLst/>
                            </wps:spPr>
                            <wps:bodyPr upright="1"/>
                          </wps:wsp>
                        </a:graphicData>
                      </a:graphic>
                    </wp:anchor>
                  </w:drawing>
                </mc:Choice>
                <mc:Fallback>
                  <w:pict>
                    <v:rect id="_x0000_s1026" o:spid="_x0000_s1026" o:spt="1" style="position:absolute;left:0pt;margin-left:119.5pt;margin-top:3.9pt;height:8.25pt;width:9pt;z-index:251837440;mso-width-relative:page;mso-height-relative:page;" filled="f" stroked="t" coordsize="21600,21600" o:gfxdata="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gZBX9cAAAAIAQAA&#10;DwAAAAAAAAABACAAAAAiAAAAZHJzL2Rvd25yZXYueG1sUEsBAhQAFAAAAAgAh07iQHeRDHbhAQAA&#10;tgMAAA4AAAAAAAAAAQAgAAAAJgEAAGRycy9lMm9Eb2MueG1sUEsFBgAAAAAGAAYAWQEAAHkFAAAA&#10;AA==&#10;">
                      <v:fill on="f" focussize="0,0"/>
                      <v:stroke color="#000000" joinstyle="miter"/>
                      <v:imagedata o:title=""/>
                      <o:lock v:ext="edit" aspectratio="f"/>
                    </v:rect>
                  </w:pict>
                </mc:Fallback>
              </mc:AlternateContent>
            </w:r>
            <w:r>
              <w:rPr>
                <w:szCs w:val="21"/>
              </w:rPr>
              <w:t xml:space="preserve">           </w:t>
            </w:r>
            <w:r>
              <w:rPr>
                <w:rFonts w:hint="eastAsia"/>
                <w:szCs w:val="21"/>
              </w:rPr>
              <w:t>身份证</w:t>
            </w:r>
            <w:r>
              <w:rPr>
                <w:szCs w:val="21"/>
              </w:rPr>
              <w:t xml:space="preserve">        </w:t>
            </w:r>
            <w:r>
              <w:rPr>
                <w:rFonts w:hint="eastAsia"/>
                <w:szCs w:val="21"/>
              </w:rPr>
              <w:t>港澳台地区身份证</w:t>
            </w:r>
            <w:r>
              <w:rPr>
                <w:szCs w:val="21"/>
              </w:rPr>
              <w:t xml:space="preserve">         </w:t>
            </w:r>
            <w:r>
              <w:rPr>
                <w:rFonts w:hint="eastAsia"/>
                <w:szCs w:val="21"/>
              </w:rPr>
              <w:t>外籍护照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58" w:hRule="atLeast"/>
        </w:trPr>
        <w:tc>
          <w:tcPr>
            <w:tcW w:w="1521"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证件号码</w:t>
            </w:r>
          </w:p>
        </w:tc>
        <w:tc>
          <w:tcPr>
            <w:tcW w:w="7939" w:type="dxa"/>
            <w:gridSpan w:val="8"/>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390" w:hRule="atLeast"/>
        </w:trPr>
        <w:tc>
          <w:tcPr>
            <w:tcW w:w="1521"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性</w:t>
            </w:r>
            <w:r>
              <w:rPr>
                <w:szCs w:val="21"/>
              </w:rPr>
              <w:t xml:space="preserve">    </w:t>
            </w:r>
            <w:r>
              <w:rPr>
                <w:rFonts w:hint="eastAsia"/>
                <w:szCs w:val="21"/>
              </w:rPr>
              <w:t>别</w:t>
            </w:r>
          </w:p>
        </w:tc>
        <w:tc>
          <w:tcPr>
            <w:tcW w:w="2543" w:type="dxa"/>
            <w:gridSpan w:val="2"/>
            <w:tcBorders>
              <w:top w:val="single" w:color="000000" w:sz="4" w:space="0"/>
              <w:left w:val="single" w:color="000000" w:sz="4" w:space="0"/>
              <w:bottom w:val="single" w:color="000000" w:sz="4" w:space="0"/>
              <w:right w:val="single" w:color="000000" w:sz="4" w:space="0"/>
            </w:tcBorders>
            <w:vAlign w:val="center"/>
          </w:tcP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国</w:t>
            </w:r>
            <w:r>
              <w:rPr>
                <w:szCs w:val="21"/>
              </w:rPr>
              <w:t xml:space="preserve">    </w:t>
            </w:r>
            <w:r>
              <w:rPr>
                <w:rFonts w:hint="eastAsia"/>
                <w:szCs w:val="21"/>
              </w:rPr>
              <w:t>籍</w:t>
            </w:r>
          </w:p>
        </w:tc>
        <w:tc>
          <w:tcPr>
            <w:tcW w:w="4266" w:type="dxa"/>
            <w:gridSpan w:val="4"/>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出生日期</w:t>
            </w:r>
          </w:p>
        </w:tc>
        <w:tc>
          <w:tcPr>
            <w:tcW w:w="2543" w:type="dxa"/>
            <w:gridSpan w:val="2"/>
            <w:tcBorders>
              <w:top w:val="single" w:color="000000" w:sz="4" w:space="0"/>
              <w:left w:val="single" w:color="000000" w:sz="4" w:space="0"/>
              <w:bottom w:val="single" w:color="000000" w:sz="4" w:space="0"/>
              <w:right w:val="single" w:color="000000" w:sz="4" w:space="0"/>
            </w:tcBorders>
            <w:vAlign w:val="center"/>
          </w:tcPr>
          <w:p>
            <w:r>
              <w:t xml:space="preserve">    </w:t>
            </w:r>
            <w:r>
              <w:rPr>
                <w:rFonts w:hint="eastAsia"/>
              </w:rPr>
              <w:t>年</w:t>
            </w:r>
            <w:r>
              <w:t xml:space="preserve">   </w:t>
            </w:r>
            <w:r>
              <w:rPr>
                <w:rFonts w:hint="eastAsia"/>
              </w:rPr>
              <w:t>月</w:t>
            </w:r>
            <w:r>
              <w:t xml:space="preserve">   </w:t>
            </w:r>
            <w:r>
              <w:rPr>
                <w:rFonts w:hint="eastAsia"/>
              </w:rPr>
              <w:t>日</w:t>
            </w: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出</w:t>
            </w:r>
            <w:r>
              <w:rPr>
                <w:szCs w:val="21"/>
              </w:rPr>
              <w:t xml:space="preserve"> </w:t>
            </w:r>
            <w:r>
              <w:rPr>
                <w:rFonts w:hint="eastAsia"/>
                <w:szCs w:val="21"/>
              </w:rPr>
              <w:t>生</w:t>
            </w:r>
            <w:r>
              <w:rPr>
                <w:szCs w:val="21"/>
              </w:rPr>
              <w:t xml:space="preserve"> </w:t>
            </w:r>
            <w:r>
              <w:rPr>
                <w:rFonts w:hint="eastAsia"/>
                <w:szCs w:val="21"/>
              </w:rPr>
              <w:t>地</w:t>
            </w:r>
          </w:p>
        </w:tc>
        <w:tc>
          <w:tcPr>
            <w:tcW w:w="4266" w:type="dxa"/>
            <w:gridSpan w:val="4"/>
            <w:tcBorders>
              <w:top w:val="single" w:color="000000" w:sz="4" w:space="0"/>
              <w:left w:val="single" w:color="000000" w:sz="4" w:space="0"/>
              <w:bottom w:val="single" w:color="000000" w:sz="4" w:space="0"/>
              <w:right w:val="single" w:color="000000" w:sz="4" w:space="0"/>
            </w:tcBorders>
            <w:vAlign w:val="center"/>
          </w:tcPr>
          <w:p>
            <w:r>
              <w:rPr>
                <w:szCs w:val="21"/>
              </w:rPr>
              <w:t xml:space="preserve">         </w:t>
            </w:r>
            <w:r>
              <w:rPr>
                <w:rFonts w:hint="eastAsia"/>
                <w:szCs w:val="21"/>
              </w:rPr>
              <w:t>省</w:t>
            </w:r>
            <w:r>
              <w:rPr>
                <w:szCs w:val="21"/>
              </w:rPr>
              <w:t>/</w:t>
            </w:r>
            <w:r>
              <w:rPr>
                <w:rFonts w:hint="eastAsia"/>
                <w:szCs w:val="21"/>
              </w:rPr>
              <w:t>直辖市</w:t>
            </w:r>
            <w:r>
              <w:rPr>
                <w:szCs w:val="21"/>
              </w:rPr>
              <w:t xml:space="preserve">      </w:t>
            </w:r>
            <w:r>
              <w:rPr>
                <w:rFonts w:hint="eastAsia"/>
                <w:szCs w:val="21"/>
              </w:rPr>
              <w:t>市</w:t>
            </w:r>
            <w:r>
              <w:rPr>
                <w:szCs w:val="21"/>
              </w:rPr>
              <w:t>/</w:t>
            </w:r>
            <w:r>
              <w:rPr>
                <w:rFonts w:hint="eastAsia"/>
                <w:szCs w:val="21"/>
              </w:rPr>
              <w:t>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籍</w:t>
            </w:r>
            <w:r>
              <w:rPr>
                <w:szCs w:val="21"/>
              </w:rPr>
              <w:t xml:space="preserve">    </w:t>
            </w:r>
            <w:r>
              <w:rPr>
                <w:rFonts w:hint="eastAsia"/>
                <w:szCs w:val="21"/>
              </w:rPr>
              <w:t>贯</w:t>
            </w:r>
          </w:p>
        </w:tc>
        <w:tc>
          <w:tcPr>
            <w:tcW w:w="2543" w:type="dxa"/>
            <w:gridSpan w:val="2"/>
            <w:tcBorders>
              <w:top w:val="single" w:color="000000" w:sz="4" w:space="0"/>
              <w:left w:val="single" w:color="000000" w:sz="4" w:space="0"/>
              <w:bottom w:val="single" w:color="000000" w:sz="4" w:space="0"/>
              <w:right w:val="single" w:color="000000" w:sz="4" w:space="0"/>
            </w:tcBorders>
            <w:vAlign w:val="center"/>
          </w:tcPr>
          <w:p>
            <w:r>
              <w:rPr>
                <w:szCs w:val="21"/>
              </w:rPr>
              <w:t xml:space="preserve">    </w:t>
            </w:r>
            <w:r>
              <w:rPr>
                <w:rFonts w:hint="eastAsia"/>
                <w:szCs w:val="21"/>
              </w:rPr>
              <w:t>省</w:t>
            </w:r>
            <w:r>
              <w:rPr>
                <w:szCs w:val="21"/>
              </w:rPr>
              <w:t>/</w:t>
            </w:r>
            <w:r>
              <w:rPr>
                <w:rFonts w:hint="eastAsia"/>
                <w:szCs w:val="21"/>
              </w:rPr>
              <w:t>直辖市</w:t>
            </w:r>
            <w:r>
              <w:rPr>
                <w:szCs w:val="21"/>
              </w:rPr>
              <w:t xml:space="preserve">     </w:t>
            </w:r>
            <w:r>
              <w:rPr>
                <w:rFonts w:hint="eastAsia"/>
                <w:szCs w:val="21"/>
              </w:rPr>
              <w:t>市</w:t>
            </w: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民</w:t>
            </w:r>
            <w:r>
              <w:rPr>
                <w:szCs w:val="21"/>
              </w:rPr>
              <w:t xml:space="preserve">    </w:t>
            </w:r>
            <w:r>
              <w:rPr>
                <w:rFonts w:hint="eastAsia"/>
                <w:szCs w:val="21"/>
              </w:rPr>
              <w:t>族</w:t>
            </w:r>
          </w:p>
        </w:tc>
        <w:tc>
          <w:tcPr>
            <w:tcW w:w="1695" w:type="dxa"/>
            <w:tcBorders>
              <w:top w:val="single" w:color="000000" w:sz="4" w:space="0"/>
              <w:left w:val="single" w:color="000000" w:sz="4" w:space="0"/>
              <w:bottom w:val="single" w:color="000000" w:sz="4" w:space="0"/>
              <w:right w:val="single" w:color="000000" w:sz="4" w:space="0"/>
            </w:tcBorders>
            <w:vAlign w:val="center"/>
          </w:tcP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政治面貌</w:t>
            </w:r>
          </w:p>
        </w:tc>
        <w:tc>
          <w:tcPr>
            <w:tcW w:w="1441" w:type="dxa"/>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办公地址</w:t>
            </w:r>
          </w:p>
        </w:tc>
        <w:tc>
          <w:tcPr>
            <w:tcW w:w="2543" w:type="dxa"/>
            <w:gridSpan w:val="2"/>
            <w:tcBorders>
              <w:top w:val="single" w:color="000000" w:sz="4" w:space="0"/>
              <w:left w:val="single" w:color="000000" w:sz="4" w:space="0"/>
              <w:bottom w:val="single" w:color="000000" w:sz="4" w:space="0"/>
              <w:right w:val="single" w:color="000000" w:sz="4" w:space="0"/>
            </w:tcBorders>
            <w:vAlign w:val="center"/>
          </w:tcP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邮</w:t>
            </w:r>
            <w:r>
              <w:rPr>
                <w:szCs w:val="21"/>
              </w:rPr>
              <w:t xml:space="preserve">    </w:t>
            </w:r>
            <w:r>
              <w:rPr>
                <w:rFonts w:hint="eastAsia"/>
                <w:szCs w:val="21"/>
              </w:rPr>
              <w:t>箱</w:t>
            </w:r>
          </w:p>
        </w:tc>
        <w:tc>
          <w:tcPr>
            <w:tcW w:w="4266" w:type="dxa"/>
            <w:gridSpan w:val="4"/>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1521" w:type="dxa"/>
            <w:tcBorders>
              <w:top w:val="single" w:color="000000" w:sz="4" w:space="0"/>
              <w:left w:val="single" w:color="000000" w:sz="4" w:space="0"/>
              <w:bottom w:val="single" w:color="000000" w:sz="4" w:space="0"/>
              <w:right w:val="single" w:color="000000" w:sz="4" w:space="0"/>
            </w:tcBorders>
            <w:vAlign w:val="center"/>
          </w:tcPr>
          <w:p>
            <w:r>
              <w:rPr>
                <w:rFonts w:hint="eastAsia"/>
                <w:szCs w:val="21"/>
              </w:rPr>
              <w:t>手</w:t>
            </w:r>
            <w:r>
              <w:rPr>
                <w:szCs w:val="21"/>
              </w:rPr>
              <w:t xml:space="preserve">    </w:t>
            </w:r>
            <w:r>
              <w:rPr>
                <w:rFonts w:hint="eastAsia"/>
                <w:szCs w:val="21"/>
              </w:rPr>
              <w:t>机</w:t>
            </w:r>
          </w:p>
        </w:tc>
        <w:tc>
          <w:tcPr>
            <w:tcW w:w="2543" w:type="dxa"/>
            <w:gridSpan w:val="2"/>
            <w:tcBorders>
              <w:top w:val="single" w:color="000000" w:sz="4" w:space="0"/>
              <w:left w:val="single" w:color="000000" w:sz="4" w:space="0"/>
              <w:bottom w:val="single" w:color="000000" w:sz="4" w:space="0"/>
              <w:right w:val="single" w:color="000000" w:sz="4" w:space="0"/>
            </w:tcBorders>
            <w:vAlign w:val="center"/>
          </w:tcP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办公电话</w:t>
            </w:r>
          </w:p>
        </w:tc>
        <w:tc>
          <w:tcPr>
            <w:tcW w:w="1695" w:type="dxa"/>
            <w:tcBorders>
              <w:top w:val="single" w:color="000000" w:sz="4" w:space="0"/>
              <w:left w:val="single" w:color="000000" w:sz="4" w:space="0"/>
              <w:bottom w:val="single" w:color="000000" w:sz="4" w:space="0"/>
              <w:right w:val="single" w:color="000000" w:sz="4" w:space="0"/>
            </w:tcBorders>
            <w:vAlign w:val="center"/>
          </w:tcPr>
          <w:p/>
        </w:tc>
        <w:tc>
          <w:tcPr>
            <w:tcW w:w="1130"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办公传真</w:t>
            </w:r>
          </w:p>
        </w:tc>
        <w:tc>
          <w:tcPr>
            <w:tcW w:w="1441" w:type="dxa"/>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460" w:type="dxa"/>
            <w:gridSpan w:val="9"/>
            <w:tcBorders>
              <w:top w:val="single" w:color="000000" w:sz="4" w:space="0"/>
              <w:left w:val="single" w:color="000000" w:sz="4" w:space="0"/>
              <w:bottom w:val="single" w:color="000000" w:sz="4" w:space="0"/>
              <w:right w:val="single" w:color="000000" w:sz="4" w:space="0"/>
            </w:tcBorders>
            <w:shd w:val="clear" w:color="auto" w:fill="FF0000"/>
            <w:vAlign w:val="center"/>
          </w:tcPr>
          <w:p>
            <w:pPr>
              <w:jc w:val="center"/>
            </w:pPr>
            <w:r>
              <w:rPr>
                <w:rFonts w:hint="eastAsia"/>
                <w:b/>
                <w:sz w:val="24"/>
                <w:lang w:eastAsia="zh-CN"/>
              </w:rPr>
              <w:t>投资背景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2228"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工作单位</w:t>
            </w:r>
          </w:p>
        </w:tc>
        <w:tc>
          <w:tcPr>
            <w:tcW w:w="2966" w:type="dxa"/>
            <w:gridSpan w:val="3"/>
            <w:tcBorders>
              <w:top w:val="single" w:color="000000" w:sz="4" w:space="0"/>
              <w:left w:val="single" w:color="000000" w:sz="4" w:space="0"/>
              <w:bottom w:val="single" w:color="000000" w:sz="4" w:space="0"/>
              <w:right w:val="single" w:color="000000" w:sz="4" w:space="0"/>
            </w:tcBorders>
            <w:vAlign w:val="center"/>
          </w:tcPr>
          <w:p>
            <w:pPr>
              <w:jc w:val="right"/>
            </w:pPr>
            <w:r>
              <w:t xml:space="preserve">            </w:t>
            </w:r>
          </w:p>
        </w:tc>
        <w:tc>
          <w:tcPr>
            <w:tcW w:w="2121"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eastAsiaTheme="minorEastAsia"/>
                <w:lang w:eastAsia="zh-CN"/>
              </w:rPr>
            </w:pPr>
            <w:r>
              <w:rPr>
                <w:rFonts w:hint="eastAsia"/>
                <w:szCs w:val="21"/>
              </w:rPr>
              <w:t>单位</w:t>
            </w:r>
            <w:r>
              <w:rPr>
                <w:rFonts w:hint="eastAsia"/>
                <w:szCs w:val="21"/>
                <w:lang w:eastAsia="zh-CN"/>
              </w:rPr>
              <w:t>职务</w:t>
            </w:r>
          </w:p>
        </w:tc>
        <w:tc>
          <w:tcPr>
            <w:tcW w:w="2145" w:type="dxa"/>
            <w:gridSpan w:val="2"/>
            <w:tcBorders>
              <w:top w:val="single" w:color="000000" w:sz="4" w:space="0"/>
              <w:left w:val="single" w:color="000000" w:sz="4" w:space="0"/>
              <w:bottom w:val="single" w:color="000000" w:sz="4" w:space="0"/>
              <w:right w:val="single" w:color="000000" w:sz="4" w:space="0"/>
            </w:tcBorders>
            <w:vAlign w:val="center"/>
          </w:tcPr>
          <w:p>
            <w:pPr>
              <w:jc w:val="right"/>
            </w:pPr>
            <w: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2228"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lang w:eastAsia="zh-CN"/>
              </w:rPr>
              <w:t>投资经验</w:t>
            </w:r>
          </w:p>
        </w:tc>
        <w:tc>
          <w:tcPr>
            <w:tcW w:w="2966" w:type="dxa"/>
            <w:gridSpan w:val="3"/>
            <w:tcBorders>
              <w:top w:val="single" w:color="000000" w:sz="4" w:space="0"/>
              <w:left w:val="single" w:color="000000" w:sz="4" w:space="0"/>
              <w:bottom w:val="single" w:color="000000" w:sz="4" w:space="0"/>
              <w:right w:val="single" w:color="000000" w:sz="4" w:space="0"/>
            </w:tcBorders>
            <w:vAlign w:val="center"/>
          </w:tcPr>
          <w:p>
            <w:r>
              <w:t xml:space="preserve"> </w:t>
            </w:r>
            <w:r>
              <w:rPr>
                <w:rFonts w:hint="eastAsia"/>
                <w:lang w:eastAsia="zh-CN"/>
              </w:rPr>
              <w:t>（</w:t>
            </w:r>
            <w:r>
              <w:rPr>
                <w:rFonts w:hint="eastAsia"/>
              </w:rPr>
              <w:t>年</w:t>
            </w:r>
            <w:r>
              <w:rPr>
                <w:rFonts w:hint="eastAsia"/>
                <w:lang w:eastAsia="zh-CN"/>
              </w:rPr>
              <w:t>）</w:t>
            </w:r>
          </w:p>
        </w:tc>
        <w:tc>
          <w:tcPr>
            <w:tcW w:w="2121"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lang w:eastAsia="zh-CN"/>
              </w:rPr>
              <w:t>过往业绩</w:t>
            </w:r>
          </w:p>
        </w:tc>
        <w:tc>
          <w:tcPr>
            <w:tcW w:w="2145" w:type="dxa"/>
            <w:gridSpan w:val="2"/>
            <w:tcBorders>
              <w:top w:val="single" w:color="000000" w:sz="4" w:space="0"/>
              <w:left w:val="single" w:color="000000" w:sz="4" w:space="0"/>
              <w:bottom w:val="single" w:color="000000" w:sz="4" w:space="0"/>
              <w:right w:val="single" w:color="000000" w:sz="4" w:space="0"/>
            </w:tcBorders>
            <w:vAlign w:val="center"/>
          </w:tcPr>
          <w:p>
            <w:r>
              <w:t xml:space="preserve"> </w:t>
            </w:r>
            <w:r>
              <w:rPr>
                <w:rFonts w:hint="eastAsia"/>
                <w:lang w:val="en-US" w:eastAsia="zh-CN"/>
              </w:rPr>
              <w:t>%（</w:t>
            </w:r>
            <w:r>
              <w:rPr>
                <w:rFonts w:hint="eastAsia"/>
              </w:rPr>
              <w:t>年</w:t>
            </w:r>
            <w:r>
              <w:rPr>
                <w:rFonts w:hint="eastAsia"/>
                <w:lang w:eastAsia="zh-CN"/>
              </w:rPr>
              <w:t>化收益）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222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eastAsiaTheme="minorEastAsia"/>
                <w:lang w:eastAsia="zh-CN"/>
              </w:rPr>
            </w:pPr>
            <w:r>
              <w:rPr>
                <w:rFonts w:hint="eastAsia"/>
                <w:lang w:eastAsia="zh-CN"/>
              </w:rPr>
              <w:t>本次投资金额</w:t>
            </w:r>
          </w:p>
        </w:tc>
        <w:tc>
          <w:tcPr>
            <w:tcW w:w="2966" w:type="dxa"/>
            <w:gridSpan w:val="3"/>
            <w:tcBorders>
              <w:top w:val="single" w:color="000000" w:sz="4" w:space="0"/>
              <w:left w:val="single" w:color="000000" w:sz="4" w:space="0"/>
              <w:bottom w:val="single" w:color="000000" w:sz="4" w:space="0"/>
              <w:right w:val="single" w:color="000000" w:sz="4" w:space="0"/>
            </w:tcBorders>
            <w:vAlign w:val="center"/>
          </w:tcPr>
          <w:p/>
        </w:tc>
        <w:tc>
          <w:tcPr>
            <w:tcW w:w="2121"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eastAsiaTheme="minorEastAsia"/>
                <w:lang w:eastAsia="zh-CN"/>
              </w:rPr>
            </w:pPr>
            <w:r>
              <w:rPr>
                <w:rFonts w:hint="eastAsia"/>
                <w:lang w:eastAsia="zh-CN"/>
              </w:rPr>
              <w:t>预期收益</w:t>
            </w:r>
          </w:p>
        </w:tc>
        <w:tc>
          <w:tcPr>
            <w:tcW w:w="2145" w:type="dxa"/>
            <w:gridSpan w:val="2"/>
            <w:tcBorders>
              <w:top w:val="single" w:color="000000" w:sz="4" w:space="0"/>
              <w:left w:val="single" w:color="000000" w:sz="4" w:space="0"/>
              <w:bottom w:val="single" w:color="000000" w:sz="4" w:space="0"/>
              <w:right w:val="single" w:color="000000" w:sz="4" w:space="0"/>
            </w:tcBorders>
            <w:vAlign w:val="center"/>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2228"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贵单位员工人数</w:t>
            </w:r>
          </w:p>
        </w:tc>
        <w:tc>
          <w:tcPr>
            <w:tcW w:w="2966" w:type="dxa"/>
            <w:gridSpan w:val="3"/>
            <w:tcBorders>
              <w:top w:val="single" w:color="000000" w:sz="4" w:space="0"/>
              <w:left w:val="single" w:color="000000" w:sz="4" w:space="0"/>
              <w:bottom w:val="single" w:color="000000" w:sz="4" w:space="0"/>
              <w:right w:val="single" w:color="000000" w:sz="4" w:space="0"/>
            </w:tcBorders>
            <w:vAlign w:val="center"/>
          </w:tcPr>
          <w:p>
            <w:pPr>
              <w:jc w:val="right"/>
            </w:pPr>
            <w:r>
              <w:t xml:space="preserve">    </w:t>
            </w:r>
          </w:p>
        </w:tc>
        <w:tc>
          <w:tcPr>
            <w:tcW w:w="2121" w:type="dxa"/>
            <w:gridSpan w:val="2"/>
            <w:tcBorders>
              <w:top w:val="single" w:color="000000" w:sz="4" w:space="0"/>
              <w:left w:val="single" w:color="000000" w:sz="4" w:space="0"/>
              <w:bottom w:val="single" w:color="000000" w:sz="4" w:space="0"/>
              <w:right w:val="single" w:color="000000" w:sz="4" w:space="0"/>
            </w:tcBorders>
            <w:vAlign w:val="center"/>
          </w:tcPr>
          <w:p>
            <w:r>
              <w:rPr>
                <w:rFonts w:hint="eastAsia"/>
                <w:szCs w:val="21"/>
              </w:rPr>
              <w:t>你管辖下的员工人数</w:t>
            </w:r>
          </w:p>
        </w:tc>
        <w:tc>
          <w:tcPr>
            <w:tcW w:w="2145" w:type="dxa"/>
            <w:gridSpan w:val="2"/>
            <w:tcBorders>
              <w:top w:val="single" w:color="000000" w:sz="4" w:space="0"/>
              <w:left w:val="single" w:color="000000" w:sz="4" w:space="0"/>
              <w:bottom w:val="single" w:color="000000" w:sz="4" w:space="0"/>
              <w:right w:val="single" w:color="000000" w:sz="4" w:space="0"/>
            </w:tcBorders>
            <w:vAlign w:val="center"/>
          </w:tcPr>
          <w:p>
            <w:pPr>
              <w:jc w:val="right"/>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345" w:hRule="atLeast"/>
        </w:trPr>
        <w:tc>
          <w:tcPr>
            <w:tcW w:w="2228"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eastAsiaTheme="minorEastAsia"/>
                <w:lang w:eastAsia="zh-CN"/>
              </w:rPr>
            </w:pPr>
            <w:r>
              <w:rPr>
                <w:rFonts w:hint="eastAsia"/>
                <w:lang w:eastAsia="zh-CN"/>
              </w:rPr>
              <w:t>注：本次投资金额必须如实填写，否者会导致模式失效不能及时出货，或者发生亏损</w:t>
            </w:r>
          </w:p>
        </w:tc>
        <w:tc>
          <w:tcPr>
            <w:tcW w:w="7232" w:type="dxa"/>
            <w:gridSpan w:val="7"/>
            <w:tcBorders>
              <w:top w:val="single" w:color="000000" w:sz="4" w:space="0"/>
              <w:left w:val="single" w:color="000000" w:sz="4" w:space="0"/>
              <w:bottom w:val="single" w:color="000000" w:sz="4" w:space="0"/>
              <w:right w:val="single" w:color="000000" w:sz="4" w:space="0"/>
            </w:tcBorders>
            <w:vAlign w:val="center"/>
          </w:tcPr>
          <w:p>
            <w:pPr>
              <w:jc w:val="center"/>
              <w:rPr>
                <w:rFonts w:hint="eastAsia" w:eastAsiaTheme="minorEastAsia"/>
                <w:lang w:eastAsia="zh-CN"/>
              </w:rPr>
            </w:pPr>
            <w:r>
              <w:rPr>
                <w:rFonts w:hint="eastAsia"/>
                <w:lang w:eastAsia="zh-CN"/>
              </w:rPr>
              <w:t>建议：本次投资新开账户，金额控制在</w:t>
            </w:r>
            <w:r>
              <w:rPr>
                <w:rFonts w:hint="eastAsia"/>
                <w:lang w:val="en-US" w:eastAsia="zh-CN"/>
              </w:rPr>
              <w:t>100万内，记录投资收益，对比原有操作，合理控制仓位，增加投资成功率，转变投资思路和策略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80" w:hRule="atLeast"/>
        </w:trPr>
        <w:tc>
          <w:tcPr>
            <w:tcW w:w="9460" w:type="dxa"/>
            <w:gridSpan w:val="9"/>
            <w:tcBorders>
              <w:top w:val="single" w:color="000000" w:sz="4" w:space="0"/>
              <w:left w:val="single" w:color="000000" w:sz="4" w:space="0"/>
              <w:bottom w:val="single" w:color="000000" w:sz="4" w:space="0"/>
              <w:right w:val="single" w:color="000000" w:sz="4" w:space="0"/>
            </w:tcBorders>
            <w:shd w:val="clear" w:color="auto" w:fill="FF0000"/>
            <w:vAlign w:val="center"/>
          </w:tcPr>
          <w:p>
            <w:pPr>
              <w:jc w:val="center"/>
            </w:pPr>
            <w:r>
              <w:rPr>
                <w:rFonts w:hint="eastAsia"/>
                <w:b/>
                <w:sz w:val="24"/>
              </w:rPr>
              <w:t>学籍档案材料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trPr>
        <w:tc>
          <w:tcPr>
            <w:tcW w:w="4347" w:type="dxa"/>
            <w:gridSpan w:val="4"/>
            <w:tcBorders>
              <w:top w:val="single" w:color="000000" w:sz="4" w:space="0"/>
              <w:left w:val="single" w:color="000000" w:sz="4" w:space="0"/>
              <w:bottom w:val="single" w:color="000000" w:sz="4" w:space="0"/>
              <w:right w:val="single" w:color="000000" w:sz="4" w:space="0"/>
            </w:tcBorders>
            <w:vAlign w:val="center"/>
          </w:tcPr>
          <w:p>
            <w:r>
              <w:rPr>
                <w:rFonts w:hint="eastAsia"/>
              </w:rPr>
              <w:t>◆</w:t>
            </w:r>
            <w:r>
              <w:t xml:space="preserve"> </w:t>
            </w:r>
            <w:r>
              <w:rPr>
                <w:rFonts w:hint="eastAsia"/>
              </w:rPr>
              <w:t>二寸蓝底近照</w:t>
            </w:r>
            <w:r>
              <w:t xml:space="preserve"> (</w:t>
            </w:r>
            <w:r>
              <w:rPr>
                <w:rFonts w:hint="eastAsia"/>
              </w:rPr>
              <w:t>电子版</w:t>
            </w:r>
            <w:r>
              <w:t xml:space="preserve">)  </w:t>
            </w:r>
          </w:p>
        </w:tc>
        <w:tc>
          <w:tcPr>
            <w:tcW w:w="5113" w:type="dxa"/>
            <w:gridSpan w:val="5"/>
            <w:tcBorders>
              <w:top w:val="single" w:color="000000" w:sz="4" w:space="0"/>
              <w:left w:val="single" w:color="000000" w:sz="4" w:space="0"/>
              <w:bottom w:val="single" w:color="000000" w:sz="4" w:space="0"/>
              <w:right w:val="single" w:color="000000" w:sz="4" w:space="0"/>
            </w:tcBorders>
            <w:vAlign w:val="center"/>
          </w:tcPr>
          <w:p>
            <w:r>
              <w:rPr>
                <w:rFonts w:hint="eastAsia"/>
              </w:rPr>
              <w:t>◆</w:t>
            </w:r>
            <w:r>
              <w:t xml:space="preserve"> </w:t>
            </w:r>
            <w:r>
              <w:rPr>
                <w:rFonts w:hint="eastAsia"/>
              </w:rPr>
              <w:t>清晰的身份证复印件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trPr>
        <w:tc>
          <w:tcPr>
            <w:tcW w:w="4347" w:type="dxa"/>
            <w:gridSpan w:val="4"/>
            <w:tcBorders>
              <w:top w:val="single" w:color="000000" w:sz="4" w:space="0"/>
              <w:left w:val="single" w:color="000000" w:sz="4" w:space="0"/>
              <w:bottom w:val="single" w:color="000000" w:sz="4" w:space="0"/>
              <w:right w:val="single" w:color="000000" w:sz="4" w:space="0"/>
            </w:tcBorders>
            <w:vAlign w:val="center"/>
          </w:tcPr>
          <w:p>
            <w:r>
              <w:rPr>
                <w:rFonts w:hint="eastAsia"/>
              </w:rPr>
              <w:t>◆</w:t>
            </w:r>
            <w:r>
              <w:t xml:space="preserve"> </w:t>
            </w:r>
            <w:r>
              <w:rPr>
                <w:rFonts w:hint="eastAsia"/>
              </w:rPr>
              <w:t>报名申请表</w:t>
            </w:r>
          </w:p>
        </w:tc>
        <w:tc>
          <w:tcPr>
            <w:tcW w:w="5113" w:type="dxa"/>
            <w:gridSpan w:val="5"/>
            <w:tcBorders>
              <w:top w:val="single" w:color="000000" w:sz="4" w:space="0"/>
              <w:left w:val="single" w:color="000000" w:sz="4" w:space="0"/>
              <w:bottom w:val="single" w:color="000000" w:sz="4" w:space="0"/>
              <w:right w:val="single" w:color="000000" w:sz="4" w:space="0"/>
            </w:tcBorders>
            <w:vAlign w:val="center"/>
          </w:tcPr>
          <w:p>
            <w:r>
              <w:rPr>
                <w:rFonts w:hint="eastAsia"/>
              </w:rPr>
              <w:t>◆</w:t>
            </w:r>
            <w:r>
              <w:t xml:space="preserve"> </w:t>
            </w:r>
            <w:r>
              <w:rPr>
                <w:rFonts w:hint="eastAsia"/>
              </w:rPr>
              <w:t>最高学历</w:t>
            </w:r>
            <w:r>
              <w:t xml:space="preserve"> </w:t>
            </w:r>
            <w:r>
              <w:rPr>
                <w:rFonts w:hint="eastAsia"/>
              </w:rPr>
              <w:t>、学位证书复印件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425" w:hRule="atLeast"/>
        </w:trPr>
        <w:tc>
          <w:tcPr>
            <w:tcW w:w="4347" w:type="dxa"/>
            <w:gridSpan w:val="4"/>
            <w:tcBorders>
              <w:top w:val="single" w:color="000000" w:sz="4" w:space="0"/>
              <w:left w:val="single" w:color="000000" w:sz="4" w:space="0"/>
              <w:bottom w:val="single" w:color="000000" w:sz="4" w:space="0"/>
              <w:right w:val="single" w:color="000000" w:sz="4" w:space="0"/>
            </w:tcBorders>
            <w:vAlign w:val="center"/>
          </w:tcPr>
          <w:p>
            <w:r>
              <w:rPr>
                <w:rFonts w:hint="eastAsia"/>
              </w:rPr>
              <w:t>◆</w:t>
            </w:r>
            <w:r>
              <w:t xml:space="preserve"> </w:t>
            </w:r>
            <w:r>
              <w:rPr>
                <w:rFonts w:hint="eastAsia"/>
              </w:rPr>
              <w:t>两张名片</w:t>
            </w:r>
          </w:p>
        </w:tc>
        <w:tc>
          <w:tcPr>
            <w:tcW w:w="5113" w:type="dxa"/>
            <w:gridSpan w:val="5"/>
            <w:tcBorders>
              <w:top w:val="single" w:color="000000" w:sz="4" w:space="0"/>
              <w:left w:val="single" w:color="000000" w:sz="4" w:space="0"/>
              <w:bottom w:val="single" w:color="000000" w:sz="4" w:space="0"/>
              <w:right w:val="single" w:color="000000" w:sz="4" w:space="0"/>
            </w:tcBorders>
            <w:vAlign w:val="center"/>
          </w:tcPr>
          <w:p>
            <w:r>
              <w:rPr>
                <w:rFonts w:hint="eastAsia"/>
              </w:rPr>
              <w:t>◆</w:t>
            </w:r>
            <w:r>
              <w:t xml:space="preserve"> </w:t>
            </w:r>
            <w:r>
              <w:rPr>
                <w:rFonts w:hint="eastAsia"/>
              </w:rPr>
              <w:t>公司简介、营业执照副本复印件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513" w:hRule="atLeast"/>
        </w:trPr>
        <w:tc>
          <w:tcPr>
            <w:tcW w:w="9460" w:type="dxa"/>
            <w:gridSpan w:val="9"/>
            <w:tcBorders>
              <w:top w:val="single" w:color="000000" w:sz="4" w:space="0"/>
              <w:left w:val="single" w:color="000000" w:sz="4" w:space="0"/>
              <w:bottom w:val="single" w:color="000000" w:sz="4" w:space="0"/>
              <w:right w:val="single" w:color="000000" w:sz="4" w:space="0"/>
            </w:tcBorders>
            <w:shd w:val="clear" w:color="auto" w:fill="FF0000"/>
            <w:vAlign w:val="center"/>
          </w:tcPr>
          <w:p>
            <w:pPr>
              <w:jc w:val="center"/>
              <w:rPr>
                <w:b/>
                <w:sz w:val="24"/>
              </w:rPr>
            </w:pPr>
            <w:r>
              <w:rPr>
                <w:rFonts w:hint="eastAsia"/>
                <w:b/>
                <w:sz w:val="24"/>
              </w:rPr>
              <w:t>请将申请表发回至：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614" w:hRule="atLeast"/>
        </w:trPr>
        <w:tc>
          <w:tcPr>
            <w:tcW w:w="9460" w:type="dxa"/>
            <w:gridSpan w:val="9"/>
            <w:tcBorders>
              <w:top w:val="single" w:color="000000" w:sz="4" w:space="0"/>
              <w:left w:val="single" w:color="000000" w:sz="4" w:space="0"/>
              <w:bottom w:val="single" w:color="000000" w:sz="4" w:space="0"/>
              <w:right w:val="single" w:color="000000" w:sz="4" w:space="0"/>
            </w:tcBorders>
          </w:tcPr>
          <w:p>
            <w:pPr>
              <w:tabs>
                <w:tab w:val="right" w:pos="9020"/>
              </w:tabs>
              <w:spacing w:line="360" w:lineRule="auto"/>
              <w:jc w:val="left"/>
              <w:rPr>
                <w:rFonts w:hint="eastAsia" w:cs="宋体"/>
                <w:sz w:val="24"/>
                <w:lang w:val="en-US" w:eastAsia="zh-CN"/>
              </w:rPr>
            </w:pPr>
            <w:r>
              <w:rPr>
                <w:rFonts w:hint="eastAsia" w:cs="宋体"/>
                <w:sz w:val="24"/>
                <w:lang w:val="en-US" w:eastAsia="zh-CN"/>
              </w:rPr>
              <w:t>联 系 人：赵老师 15911037933（微信同号）</w:t>
            </w:r>
          </w:p>
          <w:p>
            <w:pPr>
              <w:spacing w:line="400" w:lineRule="exact"/>
              <w:rPr>
                <w:rFonts w:hint="eastAsia" w:cs="宋体"/>
                <w:sz w:val="24"/>
                <w:lang w:val="en-US" w:eastAsia="zh-CN"/>
              </w:rPr>
            </w:pPr>
            <w:r>
              <w:rPr>
                <w:rFonts w:hint="eastAsia" w:cs="宋体"/>
                <w:sz w:val="24"/>
                <w:lang w:val="en-US" w:eastAsia="zh-CN"/>
              </w:rPr>
              <w:t>报名邮箱：</w:t>
            </w:r>
            <w:r>
              <w:rPr>
                <w:rFonts w:hint="eastAsia" w:cs="宋体"/>
                <w:sz w:val="24"/>
                <w:lang w:val="en-US" w:eastAsia="zh-CN"/>
              </w:rPr>
              <w:fldChar w:fldCharType="begin"/>
            </w:r>
            <w:r>
              <w:rPr>
                <w:rFonts w:hint="eastAsia" w:cs="宋体"/>
                <w:sz w:val="24"/>
                <w:lang w:val="en-US" w:eastAsia="zh-CN"/>
              </w:rPr>
              <w:instrText xml:space="preserve"> HYPERLINK "mailto:qinghuadaxueyx@163.com" </w:instrText>
            </w:r>
            <w:r>
              <w:rPr>
                <w:rFonts w:hint="eastAsia" w:cs="宋体"/>
                <w:sz w:val="24"/>
                <w:lang w:val="en-US" w:eastAsia="zh-CN"/>
              </w:rPr>
              <w:fldChar w:fldCharType="separate"/>
            </w:r>
            <w:r>
              <w:rPr>
                <w:rStyle w:val="7"/>
                <w:rFonts w:hint="eastAsia" w:cs="宋体"/>
                <w:sz w:val="24"/>
                <w:lang w:val="en-US" w:eastAsia="zh-CN"/>
              </w:rPr>
              <w:t>qinghuadaxueyx@163.com</w:t>
            </w:r>
            <w:r>
              <w:rPr>
                <w:rFonts w:hint="eastAsia" w:cs="宋体"/>
                <w:sz w:val="24"/>
                <w:lang w:val="en-US" w:eastAsia="zh-CN"/>
              </w:rPr>
              <w:fldChar w:fldCharType="end"/>
            </w:r>
            <w:r>
              <w:rPr>
                <w:rFonts w:hint="eastAsia" w:cs="宋体"/>
                <w:sz w:val="24"/>
                <w:lang w:val="en-US" w:eastAsia="zh-CN"/>
              </w:rPr>
              <w:t xml:space="preserve">     </w:t>
            </w:r>
            <w:r>
              <w:rPr>
                <w:rFonts w:hint="eastAsia" w:cs="宋体"/>
                <w:sz w:val="24"/>
                <w:lang w:val="en-US" w:eastAsia="zh-CN"/>
              </w:rPr>
              <w:fldChar w:fldCharType="begin"/>
            </w:r>
            <w:r>
              <w:rPr>
                <w:rFonts w:hint="eastAsia" w:cs="宋体"/>
                <w:sz w:val="24"/>
                <w:lang w:val="en-US" w:eastAsia="zh-CN"/>
              </w:rPr>
              <w:instrText xml:space="preserve"> HYPERLINK "mailto:2889303302@qq.com" </w:instrText>
            </w:r>
            <w:r>
              <w:rPr>
                <w:rFonts w:hint="eastAsia" w:cs="宋体"/>
                <w:sz w:val="24"/>
                <w:lang w:val="en-US" w:eastAsia="zh-CN"/>
              </w:rPr>
              <w:fldChar w:fldCharType="separate"/>
            </w:r>
            <w:r>
              <w:rPr>
                <w:rStyle w:val="7"/>
                <w:rFonts w:hint="eastAsia" w:cs="宋体"/>
                <w:sz w:val="24"/>
                <w:lang w:val="en-US" w:eastAsia="zh-CN"/>
              </w:rPr>
              <w:t>2889303302@qq.com</w:t>
            </w:r>
            <w:r>
              <w:rPr>
                <w:rFonts w:hint="eastAsia" w:cs="宋体"/>
                <w:sz w:val="24"/>
                <w:lang w:val="en-US" w:eastAsia="zh-CN"/>
              </w:rPr>
              <w:fldChar w:fldCharType="end"/>
            </w:r>
          </w:p>
          <w:p>
            <w:pPr>
              <w:spacing w:line="400" w:lineRule="exact"/>
              <w:rPr>
                <w:szCs w:val="21"/>
              </w:rPr>
            </w:pPr>
            <w:bookmarkStart w:id="0" w:name="_GoBack"/>
            <w:bookmarkEnd w:id="0"/>
            <w:r>
              <w:rPr>
                <w:rFonts w:hint="eastAsia"/>
                <w:szCs w:val="21"/>
              </w:rPr>
              <w:t>本申请表为保密文件，仅供招生委员会使用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1033" w:hRule="atLeast"/>
        </w:trPr>
        <w:tc>
          <w:tcPr>
            <w:tcW w:w="9460" w:type="dxa"/>
            <w:gridSpan w:val="9"/>
            <w:tcBorders>
              <w:top w:val="single" w:color="000000" w:sz="4" w:space="0"/>
              <w:left w:val="single" w:color="000000" w:sz="4" w:space="0"/>
              <w:bottom w:val="single" w:color="000000" w:sz="4" w:space="0"/>
              <w:right w:val="single" w:color="000000" w:sz="4" w:space="0"/>
            </w:tcBorders>
          </w:tcPr>
          <w:p>
            <w:pPr>
              <w:spacing w:line="400" w:lineRule="exact"/>
              <w:rPr>
                <w:rFonts w:hint="eastAsia"/>
                <w:szCs w:val="21"/>
                <w:lang w:val="en-US" w:eastAsia="zh-CN"/>
              </w:rPr>
            </w:pPr>
            <w:r>
              <w:rPr>
                <w:rFonts w:hint="eastAsia"/>
                <w:szCs w:val="21"/>
                <w:lang w:val="en-US" w:eastAsia="zh-CN"/>
              </w:rPr>
              <w:t xml:space="preserve"> </w:t>
            </w:r>
          </w:p>
          <w:p>
            <w:pPr>
              <w:spacing w:line="400" w:lineRule="exact"/>
              <w:rPr>
                <w:rFonts w:hint="eastAsia"/>
                <w:szCs w:val="21"/>
              </w:rPr>
            </w:pPr>
            <w:r>
              <w:rPr>
                <w:rFonts w:hint="eastAsia"/>
                <w:szCs w:val="21"/>
              </w:rPr>
              <w:t>本人签字</w:t>
            </w:r>
            <w:r>
              <w:rPr>
                <w:szCs w:val="21"/>
                <w:u w:val="single"/>
              </w:rPr>
              <w:t xml:space="preserve">             </w:t>
            </w:r>
          </w:p>
        </w:tc>
      </w:tr>
    </w:tbl>
    <w:p>
      <w:pPr>
        <w:spacing w:line="620" w:lineRule="exact"/>
        <w:ind w:right="-485" w:rightChars="-231"/>
        <w:rPr>
          <w:rFonts w:hint="eastAsia"/>
          <w:b/>
          <w:bCs/>
          <w:color w:val="FF0000"/>
          <w:sz w:val="28"/>
          <w:szCs w:val="28"/>
          <w:lang w:val="en-US" w:eastAsia="zh-CN"/>
        </w:rPr>
      </w:pPr>
      <w:r>
        <w:rPr>
          <w:rFonts w:hint="eastAsia"/>
          <w:b/>
          <w:bCs/>
          <w:color w:val="FF0000"/>
          <w:sz w:val="28"/>
          <w:szCs w:val="28"/>
          <w:lang w:val="en-US" w:eastAsia="zh-CN"/>
        </w:rPr>
        <w:t>附件：</w:t>
      </w:r>
    </w:p>
    <w:p>
      <w:pPr>
        <w:pStyle w:val="5"/>
        <w:keepNext w:val="0"/>
        <w:keepLines w:val="0"/>
        <w:widowControl/>
        <w:suppressLineNumbers w:val="0"/>
        <w:spacing w:before="0" w:beforeAutospacing="0" w:after="0" w:afterAutospacing="0" w:line="240" w:lineRule="auto"/>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课程大纲</w:t>
      </w:r>
    </w:p>
    <w:p>
      <w:pPr>
        <w:pStyle w:val="5"/>
        <w:keepNext w:val="0"/>
        <w:keepLines w:val="0"/>
        <w:widowControl/>
        <w:suppressLineNumbers w:val="0"/>
        <w:spacing w:before="0" w:beforeAutospacing="0" w:after="0" w:afterAutospacing="0" w:line="240" w:lineRule="auto"/>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《股市黄金战法》中短线稳健低吸，小机构和庄股的操盘模式。</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一</w:t>
      </w:r>
      <w:r>
        <w:rPr>
          <w:rFonts w:hint="eastAsia" w:ascii="宋体" w:hAnsi="宋体" w:eastAsia="宋体" w:cs="宋体"/>
          <w:b/>
          <w:color w:val="000000" w:themeColor="text1"/>
          <w:sz w:val="24"/>
          <w:szCs w:val="24"/>
          <w14:textFill>
            <w14:solidFill>
              <w14:schemeClr w14:val="tx1"/>
            </w14:solidFill>
          </w14:textFill>
        </w:rPr>
        <w:t>、A股那些事</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A股市场投资的真实情况</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股民的致命弱点</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股市操盘手的成长级别</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股市投资的派别</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二</w:t>
      </w:r>
      <w:r>
        <w:rPr>
          <w:rFonts w:hint="eastAsia" w:ascii="宋体" w:hAnsi="宋体" w:eastAsia="宋体" w:cs="宋体"/>
          <w:b/>
          <w:color w:val="000000" w:themeColor="text1"/>
          <w:sz w:val="24"/>
          <w:szCs w:val="24"/>
          <w14:textFill>
            <w14:solidFill>
              <w14:schemeClr w14:val="tx1"/>
            </w14:solidFill>
          </w14:textFill>
        </w:rPr>
        <w:t>、黄金战法 </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A市场上的资金</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均线</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特别均线设置</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均线的意义与用法</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黄金战法选股准则</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天使模式和魔鬼模式</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eastAsia="宋体" w:cs="宋体"/>
          <w:color w:val="000000" w:themeColor="text1"/>
          <w:sz w:val="24"/>
          <w:szCs w:val="24"/>
          <w:lang w:eastAsia="zh-CN"/>
          <w14:textFill>
            <w14:solidFill>
              <w14:schemeClr w14:val="tx1"/>
            </w14:solidFill>
          </w14:textFill>
        </w:rPr>
        <w:t>关于炒股指标的认识</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K线结构</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底部结构</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股票运行轨迹</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战法买</w:t>
      </w:r>
      <w:r>
        <w:rPr>
          <w:rFonts w:hint="eastAsia" w:ascii="宋体" w:hAnsi="宋体" w:eastAsia="宋体" w:cs="宋体"/>
          <w:color w:val="000000" w:themeColor="text1"/>
          <w:sz w:val="24"/>
          <w:szCs w:val="24"/>
          <w:lang w:val="en-US" w:eastAsia="zh-CN"/>
          <w14:textFill>
            <w14:solidFill>
              <w14:schemeClr w14:val="tx1"/>
            </w14:solidFill>
          </w14:textFill>
        </w:rPr>
        <w:t>/</w:t>
      </w:r>
      <w:r>
        <w:rPr>
          <w:rFonts w:hint="eastAsia" w:ascii="宋体" w:hAnsi="宋体" w:eastAsia="宋体" w:cs="宋体"/>
          <w:color w:val="000000" w:themeColor="text1"/>
          <w:sz w:val="24"/>
          <w:szCs w:val="24"/>
          <w14:textFill>
            <w14:solidFill>
              <w14:schemeClr w14:val="tx1"/>
            </w14:solidFill>
          </w14:textFill>
        </w:rPr>
        <w:t>卖</w:t>
      </w:r>
      <w:r>
        <w:rPr>
          <w:rFonts w:hint="eastAsia" w:ascii="宋体" w:hAnsi="宋体" w:eastAsia="宋体" w:cs="宋体"/>
          <w:color w:val="000000" w:themeColor="text1"/>
          <w:sz w:val="24"/>
          <w:szCs w:val="24"/>
          <w:lang w:eastAsia="zh-CN"/>
          <w14:textFill>
            <w14:solidFill>
              <w14:schemeClr w14:val="tx1"/>
            </w14:solidFill>
          </w14:textFill>
        </w:rPr>
        <w:t>方式</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战法失败的处理方式</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盘感模拟训练方式</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成交量</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量价的八种形式</w:t>
      </w: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量价八卦思维</w:t>
      </w: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 xml:space="preserve">量均线 </w:t>
      </w:r>
    </w:p>
    <w:p>
      <w:pPr>
        <w:keepNext w:val="0"/>
        <w:keepLines w:val="0"/>
        <w:widowControl/>
        <w:suppressLineNumbers w:val="0"/>
        <w:jc w:val="left"/>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三</w:t>
      </w:r>
      <w:r>
        <w:rPr>
          <w:rFonts w:hint="eastAsia" w:ascii="宋体" w:hAnsi="宋体" w:eastAsia="宋体" w:cs="宋体"/>
          <w:b/>
          <w:color w:val="000000" w:themeColor="text1"/>
          <w:sz w:val="24"/>
          <w:szCs w:val="24"/>
          <w14:textFill>
            <w14:solidFill>
              <w14:schemeClr w14:val="tx1"/>
            </w14:solidFill>
          </w14:textFill>
        </w:rPr>
        <w:t>、主力建仓的</w:t>
      </w:r>
      <w:r>
        <w:rPr>
          <w:rFonts w:hint="eastAsia" w:ascii="宋体" w:hAnsi="宋体" w:eastAsia="宋体" w:cs="宋体"/>
          <w:b/>
          <w:color w:val="000000" w:themeColor="text1"/>
          <w:sz w:val="24"/>
          <w:szCs w:val="24"/>
          <w:lang w:val="en-US" w:eastAsia="zh-CN"/>
          <w14:textFill>
            <w14:solidFill>
              <w14:schemeClr w14:val="tx1"/>
            </w14:solidFill>
          </w14:textFill>
        </w:rPr>
        <w:t>三</w:t>
      </w:r>
      <w:r>
        <w:rPr>
          <w:rFonts w:hint="eastAsia" w:ascii="宋体" w:hAnsi="宋体" w:eastAsia="宋体" w:cs="宋体"/>
          <w:b/>
          <w:color w:val="000000" w:themeColor="text1"/>
          <w:sz w:val="24"/>
          <w:szCs w:val="24"/>
          <w14:textFill>
            <w14:solidFill>
              <w14:schemeClr w14:val="tx1"/>
            </w14:solidFill>
          </w14:textFill>
        </w:rPr>
        <w:t>种典型手法</w:t>
      </w:r>
    </w:p>
    <w:p>
      <w:pPr>
        <w:pStyle w:val="5"/>
        <w:keepNext w:val="0"/>
        <w:keepLines w:val="0"/>
        <w:widowControl/>
        <w:suppressLineNumbers w:val="0"/>
        <w:spacing w:before="0" w:beforeAutospacing="0" w:after="0" w:afterAutospacing="0" w:line="240" w:lineRule="auto"/>
        <w:rPr>
          <w:rFonts w:hint="eastAsia" w:ascii="宋体" w:hAnsi="宋体" w:eastAsia="宋体" w:cs="宋体"/>
          <w:b/>
          <w:color w:val="000000" w:themeColor="text1"/>
          <w:sz w:val="24"/>
          <w:szCs w:val="24"/>
          <w14:textFill>
            <w14:solidFill>
              <w14:schemeClr w14:val="tx1"/>
            </w14:solidFill>
          </w14:textFill>
        </w:rPr>
      </w:pPr>
    </w:p>
    <w:p>
      <w:pPr>
        <w:pStyle w:val="5"/>
        <w:keepNext w:val="0"/>
        <w:keepLines w:val="0"/>
        <w:widowControl/>
        <w:numPr>
          <w:ilvl w:val="0"/>
          <w:numId w:val="1"/>
        </w:numPr>
        <w:suppressLineNumbers w:val="0"/>
        <w:spacing w:before="0" w:beforeAutospacing="0" w:after="0" w:afterAutospacing="0" w:line="240" w:lineRule="auto"/>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T+0实战技巧</w:t>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上升趋势分时做</w:t>
      </w:r>
      <w:r>
        <w:rPr>
          <w:rFonts w:hint="eastAsia" w:ascii="宋体" w:hAnsi="宋体" w:eastAsia="宋体" w:cs="宋体"/>
          <w:sz w:val="24"/>
          <w:szCs w:val="24"/>
          <w:lang w:val="en-US" w:eastAsia="zh-CN"/>
        </w:rPr>
        <w:t>T</w:t>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下降趋势 分时做T</w:t>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做T的结构细化分解</w:t>
      </w:r>
    </w:p>
    <w:p>
      <w:pPr>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趋势线实战运用</w:t>
      </w:r>
    </w:p>
    <w:p>
      <w:pPr>
        <w:pStyle w:val="5"/>
        <w:keepNext w:val="0"/>
        <w:keepLines w:val="0"/>
        <w:widowControl/>
        <w:numPr>
          <w:ilvl w:val="0"/>
          <w:numId w:val="0"/>
        </w:numPr>
        <w:suppressLineNumbers w:val="0"/>
        <w:spacing w:before="0" w:beforeAutospacing="0" w:after="0" w:afterAutospacing="0" w:line="240" w:lineRule="auto"/>
        <w:ind w:right="0" w:rightChars="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周K：中心值战法</w:t>
      </w:r>
    </w:p>
    <w:p>
      <w:pPr>
        <w:pStyle w:val="5"/>
        <w:keepNext w:val="0"/>
        <w:keepLines w:val="0"/>
        <w:widowControl/>
        <w:numPr>
          <w:ilvl w:val="0"/>
          <w:numId w:val="0"/>
        </w:numPr>
        <w:suppressLineNumbers w:val="0"/>
        <w:spacing w:before="0" w:beforeAutospacing="0" w:after="0" w:afterAutospacing="0" w:line="240" w:lineRule="auto"/>
        <w:ind w:right="0" w:rightChars="0"/>
        <w:rPr>
          <w:rFonts w:hint="eastAsia" w:ascii="宋体" w:hAnsi="宋体" w:eastAsia="宋体" w:cs="宋体"/>
          <w:sz w:val="24"/>
          <w:szCs w:val="24"/>
          <w:lang w:val="en-US" w:eastAsia="zh-CN"/>
        </w:rPr>
      </w:pPr>
    </w:p>
    <w:p>
      <w:pPr>
        <w:pStyle w:val="5"/>
        <w:keepNext w:val="0"/>
        <w:keepLines w:val="0"/>
        <w:widowControl/>
        <w:numPr>
          <w:ilvl w:val="0"/>
          <w:numId w:val="1"/>
        </w:numPr>
        <w:suppressLineNumbers w:val="0"/>
        <w:spacing w:before="0" w:beforeAutospacing="0" w:after="0" w:afterAutospacing="0" w:line="240" w:lineRule="auto"/>
        <w:ind w:left="0" w:leftChars="0" w:firstLine="0" w:firstLineChars="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14:textFill>
            <w14:solidFill>
              <w14:schemeClr w14:val="tx1"/>
            </w14:solidFill>
          </w14:textFill>
        </w:rPr>
        <w:t>如何选股</w:t>
      </w:r>
    </w:p>
    <w:p>
      <w:pPr>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热点级别判断方式</w:t>
      </w:r>
    </w:p>
    <w:p>
      <w:pPr>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热点题材、板块的轮动规律</w:t>
      </w:r>
    </w:p>
    <w:p>
      <w:pPr>
        <w:pStyle w:val="5"/>
        <w:keepNext w:val="0"/>
        <w:keepLines w:val="0"/>
        <w:widowControl/>
        <w:numPr>
          <w:ilvl w:val="0"/>
          <w:numId w:val="0"/>
        </w:numPr>
        <w:suppressLineNumbers w:val="0"/>
        <w:spacing w:before="0" w:beforeAutospacing="0" w:after="0" w:afterAutospacing="0" w:line="240" w:lineRule="auto"/>
        <w:ind w:leftChars="0" w:right="0" w:rightChars="0"/>
        <w:rPr>
          <w:rFonts w:hint="eastAsia" w:ascii="宋体" w:hAnsi="宋体" w:eastAsia="宋体" w:cs="宋体"/>
          <w:b/>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lang w:val="en-US" w:eastAsia="zh-CN"/>
        </w:rPr>
        <w:t>黄金战法多维度选股方式</w:t>
      </w:r>
    </w:p>
    <w:p>
      <w:pPr>
        <w:pStyle w:val="5"/>
        <w:keepNext w:val="0"/>
        <w:keepLines w:val="0"/>
        <w:widowControl/>
        <w:suppressLineNumbers w:val="0"/>
        <w:spacing w:before="0" w:beforeAutospacing="0" w:after="0" w:afterAutospacing="0" w:line="240" w:lineRule="auto"/>
        <w:rPr>
          <w:rFonts w:hint="eastAsia" w:ascii="宋体" w:hAnsi="宋体" w:eastAsia="宋体" w:cs="宋体"/>
          <w:b/>
          <w:color w:val="000000" w:themeColor="text1"/>
          <w:sz w:val="24"/>
          <w:szCs w:val="24"/>
          <w:lang w:eastAsia="zh-CN"/>
          <w14:textFill>
            <w14:solidFill>
              <w14:schemeClr w14:val="tx1"/>
            </w14:solidFill>
          </w14:textFill>
        </w:rPr>
      </w:pPr>
    </w:p>
    <w:p>
      <w:pPr>
        <w:pStyle w:val="5"/>
        <w:keepNext w:val="0"/>
        <w:keepLines w:val="0"/>
        <w:widowControl/>
        <w:suppressLineNumbers w:val="0"/>
        <w:spacing w:before="0" w:beforeAutospacing="0" w:after="0" w:afterAutospacing="0" w:line="240" w:lineRule="auto"/>
        <w:rPr>
          <w:rFonts w:hint="eastAsia" w:ascii="宋体" w:hAnsi="宋体" w:eastAsia="宋体" w:cs="宋体"/>
          <w:b/>
          <w:color w:val="000000" w:themeColor="text1"/>
          <w:sz w:val="24"/>
          <w:szCs w:val="24"/>
          <w:lang w:eastAsia="zh-CN"/>
          <w14:textFill>
            <w14:solidFill>
              <w14:schemeClr w14:val="tx1"/>
            </w14:solidFill>
          </w14:textFill>
        </w:rPr>
      </w:pPr>
      <w:r>
        <w:rPr>
          <w:rFonts w:hint="eastAsia" w:ascii="宋体" w:hAnsi="宋体" w:eastAsia="宋体" w:cs="宋体"/>
          <w:b/>
          <w:color w:val="000000" w:themeColor="text1"/>
          <w:sz w:val="24"/>
          <w:szCs w:val="24"/>
          <w:lang w:eastAsia="zh-CN"/>
          <w14:textFill>
            <w14:solidFill>
              <w14:schemeClr w14:val="tx1"/>
            </w14:solidFill>
          </w14:textFill>
        </w:rPr>
        <w:t>六</w:t>
      </w:r>
      <w:r>
        <w:rPr>
          <w:rFonts w:hint="eastAsia" w:ascii="宋体" w:hAnsi="宋体" w:eastAsia="宋体" w:cs="宋体"/>
          <w:b/>
          <w:color w:val="000000" w:themeColor="text1"/>
          <w:sz w:val="24"/>
          <w:szCs w:val="24"/>
          <w14:textFill>
            <w14:solidFill>
              <w14:schemeClr w14:val="tx1"/>
            </w14:solidFill>
          </w14:textFill>
        </w:rPr>
        <w:t>、</w:t>
      </w:r>
      <w:r>
        <w:rPr>
          <w:rFonts w:hint="eastAsia" w:ascii="宋体" w:hAnsi="宋体" w:eastAsia="宋体" w:cs="宋体"/>
          <w:b/>
          <w:color w:val="000000" w:themeColor="text1"/>
          <w:sz w:val="24"/>
          <w:szCs w:val="24"/>
          <w:lang w:eastAsia="zh-CN"/>
          <w14:textFill>
            <w14:solidFill>
              <w14:schemeClr w14:val="tx1"/>
            </w14:solidFill>
          </w14:textFill>
        </w:rPr>
        <w:t>嘉奖</w:t>
      </w:r>
      <w:r>
        <w:rPr>
          <w:rFonts w:hint="eastAsia" w:ascii="宋体" w:hAnsi="宋体" w:eastAsia="宋体" w:cs="宋体"/>
          <w:b/>
          <w:color w:val="000000" w:themeColor="text1"/>
          <w:sz w:val="24"/>
          <w:szCs w:val="24"/>
          <w:lang w:val="en-US" w:eastAsia="zh-CN"/>
          <w14:textFill>
            <w14:solidFill>
              <w14:schemeClr w14:val="tx1"/>
            </w14:solidFill>
          </w14:textFill>
        </w:rPr>
        <w:t xml:space="preserve">课 </w:t>
      </w:r>
      <w:r>
        <w:rPr>
          <w:rFonts w:hint="eastAsia" w:ascii="宋体" w:hAnsi="宋体" w:eastAsia="宋体" w:cs="宋体"/>
          <w:b/>
          <w:color w:val="000000" w:themeColor="text1"/>
          <w:sz w:val="24"/>
          <w:szCs w:val="24"/>
          <w:lang w:eastAsia="zh-CN"/>
          <w14:textFill>
            <w14:solidFill>
              <w14:schemeClr w14:val="tx1"/>
            </w14:solidFill>
          </w14:textFill>
        </w:rPr>
        <w:t>超短：破气式</w:t>
      </w:r>
      <w:r>
        <w:rPr>
          <w:rFonts w:hint="eastAsia" w:ascii="宋体" w:hAnsi="宋体" w:eastAsia="宋体" w:cs="宋体"/>
          <w:b/>
          <w:color w:val="000000" w:themeColor="text1"/>
          <w:sz w:val="24"/>
          <w:szCs w:val="24"/>
          <w:lang w:val="en-US" w:eastAsia="zh-CN"/>
          <w14:textFill>
            <w14:solidFill>
              <w14:schemeClr w14:val="tx1"/>
            </w14:solidFill>
          </w14:textFill>
        </w:rPr>
        <w:t xml:space="preserve"> （顶级游资模式之一）</w:t>
      </w:r>
    </w:p>
    <w:p>
      <w:pPr>
        <w:pStyle w:val="5"/>
        <w:keepNext w:val="0"/>
        <w:keepLines w:val="0"/>
        <w:widowControl/>
        <w:suppressLineNumbers w:val="0"/>
        <w:spacing w:before="0" w:beforeAutospacing="0" w:after="0" w:afterAutospacing="0" w:line="240" w:lineRule="auto"/>
        <w:rPr>
          <w:rFonts w:hint="eastAsia" w:ascii="宋体" w:hAnsi="宋体" w:eastAsia="宋体" w:cs="宋体"/>
          <w:b/>
          <w:color w:val="000000" w:themeColor="text1"/>
          <w:sz w:val="24"/>
          <w:szCs w:val="24"/>
          <w:lang w:eastAsia="zh-CN"/>
          <w14:textFill>
            <w14:solidFill>
              <w14:schemeClr w14:val="tx1"/>
            </w14:solidFill>
          </w14:textFill>
        </w:rPr>
      </w:pPr>
    </w:p>
    <w:p>
      <w:pPr>
        <w:pStyle w:val="5"/>
        <w:keepNext w:val="0"/>
        <w:keepLines w:val="0"/>
        <w:widowControl/>
        <w:numPr>
          <w:ilvl w:val="0"/>
          <w:numId w:val="0"/>
        </w:numPr>
        <w:suppressLineNumbers w:val="0"/>
        <w:spacing w:before="0" w:beforeAutospacing="0" w:after="0" w:afterAutospacing="0" w:line="240" w:lineRule="auto"/>
        <w:ind w:right="0" w:rightChars="0"/>
        <w:rPr>
          <w:rFonts w:hint="eastAsia" w:ascii="宋体" w:hAnsi="宋体" w:eastAsia="宋体" w:cs="宋体"/>
          <w:b/>
          <w:color w:val="000000" w:themeColor="text1"/>
          <w:sz w:val="24"/>
          <w:szCs w:val="24"/>
          <w:lang w:val="en-US" w:eastAsia="zh-CN"/>
          <w14:textFill>
            <w14:solidFill>
              <w14:schemeClr w14:val="tx1"/>
            </w14:solidFill>
          </w14:textFill>
        </w:rPr>
      </w:pPr>
    </w:p>
    <w:p>
      <w:pPr>
        <w:pStyle w:val="5"/>
        <w:keepNext w:val="0"/>
        <w:keepLines w:val="0"/>
        <w:widowControl/>
        <w:numPr>
          <w:ilvl w:val="0"/>
          <w:numId w:val="0"/>
        </w:numPr>
        <w:suppressLineNumbers w:val="0"/>
        <w:spacing w:before="0" w:beforeAutospacing="0" w:after="0" w:afterAutospacing="0" w:line="240" w:lineRule="auto"/>
        <w:ind w:right="0" w:rightChars="0"/>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七、破气式：</w:t>
      </w:r>
    </w:p>
    <w:p>
      <w:pPr>
        <w:spacing w:line="240" w:lineRule="auto"/>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技术要点</w:t>
      </w:r>
    </w:p>
    <w:p>
      <w:pPr>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如何止盈止损</w:t>
      </w:r>
    </w:p>
    <w:p>
      <w:pPr>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如何与黄金战法中短结合</w:t>
      </w:r>
    </w:p>
    <w:p>
      <w:pPr>
        <w:pStyle w:val="5"/>
        <w:keepNext w:val="0"/>
        <w:keepLines w:val="0"/>
        <w:widowControl/>
        <w:numPr>
          <w:ilvl w:val="0"/>
          <w:numId w:val="0"/>
        </w:numPr>
        <w:suppressLineNumbers w:val="0"/>
        <w:spacing w:before="0" w:beforeAutospacing="0" w:after="0" w:afterAutospacing="0" w:line="240" w:lineRule="auto"/>
        <w:ind w:right="0" w:rightChars="0"/>
        <w:rPr>
          <w:rFonts w:hint="eastAsia" w:ascii="宋体" w:hAnsi="宋体" w:eastAsia="宋体" w:cs="宋体"/>
          <w:b/>
          <w:color w:val="000000" w:themeColor="text1"/>
          <w:sz w:val="24"/>
          <w:szCs w:val="24"/>
          <w:lang w:val="en-US" w:eastAsia="zh-CN"/>
          <w14:textFill>
            <w14:solidFill>
              <w14:schemeClr w14:val="tx1"/>
            </w14:solidFill>
          </w14:textFill>
        </w:rPr>
      </w:pPr>
      <w:r>
        <w:rPr>
          <w:rFonts w:hint="eastAsia" w:ascii="宋体" w:hAnsi="宋体" w:eastAsia="宋体" w:cs="宋体"/>
          <w:color w:val="000000"/>
          <w:kern w:val="0"/>
          <w:sz w:val="24"/>
          <w:szCs w:val="24"/>
          <w:lang w:val="en-US" w:eastAsia="zh-CN"/>
        </w:rPr>
        <w:t>交易的重要思维模式</w:t>
      </w: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keepNext w:val="0"/>
        <w:keepLines w:val="0"/>
        <w:widowControl/>
        <w:suppressLineNumbers w:val="0"/>
        <w:jc w:val="left"/>
        <w:rPr>
          <w:rFonts w:hint="eastAsia" w:ascii="宋体" w:hAnsi="宋体" w:eastAsia="宋体" w:cs="宋体"/>
          <w:b/>
          <w:bCs/>
          <w:color w:val="000000" w:themeColor="text1"/>
          <w:kern w:val="0"/>
          <w:sz w:val="24"/>
          <w:szCs w:val="24"/>
          <w:lang w:val="en-US" w:eastAsia="zh-CN" w:bidi="ar"/>
          <w14:textFill>
            <w14:solidFill>
              <w14:schemeClr w14:val="tx1"/>
            </w14:solidFill>
          </w14:textFill>
        </w:rPr>
      </w:pPr>
      <w:r>
        <w:rPr>
          <w:rFonts w:hint="eastAsia" w:ascii="宋体" w:hAnsi="宋体" w:eastAsia="宋体" w:cs="宋体"/>
          <w:b/>
          <w:bCs/>
          <w:color w:val="000000" w:themeColor="text1"/>
          <w:kern w:val="0"/>
          <w:sz w:val="24"/>
          <w:szCs w:val="24"/>
          <w:lang w:val="en-US" w:eastAsia="zh-CN" w:bidi="ar"/>
          <w14:textFill>
            <w14:solidFill>
              <w14:schemeClr w14:val="tx1"/>
            </w14:solidFill>
          </w14:textFill>
        </w:rPr>
        <w:t>八、稳健投资 特训营：</w:t>
      </w:r>
    </w:p>
    <w:p>
      <w:pPr>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四步分时，重要均线买入法</w:t>
      </w:r>
    </w:p>
    <w:p>
      <w:pPr>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仓位如何布局</w:t>
      </w:r>
    </w:p>
    <w:p>
      <w:pPr>
        <w:jc w:val="both"/>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凌波微步卖股法</w:t>
      </w: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color w:val="000000"/>
          <w:kern w:val="0"/>
          <w:sz w:val="24"/>
          <w:szCs w:val="24"/>
          <w:lang w:val="en-US" w:eastAsia="zh-CN"/>
        </w:rPr>
        <w:t>历史实战案例总结</w:t>
      </w: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keepNext w:val="0"/>
        <w:keepLines w:val="0"/>
        <w:widowControl/>
        <w:suppressLineNumbers w:val="0"/>
        <w:jc w:val="left"/>
        <w:rPr>
          <w:rFonts w:hint="eastAsia" w:ascii="宋体" w:hAnsi="宋体" w:eastAsia="宋体" w:cs="宋体"/>
          <w:color w:val="000000" w:themeColor="text1"/>
          <w:kern w:val="0"/>
          <w:sz w:val="24"/>
          <w:szCs w:val="24"/>
          <w:lang w:val="en-US" w:eastAsia="zh-CN" w:bidi="ar"/>
          <w14:textFill>
            <w14:solidFill>
              <w14:schemeClr w14:val="tx1"/>
            </w14:solidFill>
          </w14:textFill>
        </w:rPr>
      </w:pPr>
    </w:p>
    <w:p>
      <w:pPr>
        <w:pStyle w:val="5"/>
        <w:keepNext w:val="0"/>
        <w:keepLines w:val="0"/>
        <w:widowControl/>
        <w:suppressLineNumbers w:val="0"/>
        <w:spacing w:before="0" w:beforeAutospacing="0" w:after="0" w:afterAutospacing="0" w:line="240" w:lineRule="auto"/>
        <w:rPr>
          <w:rFonts w:hint="eastAsia" w:ascii="宋体" w:hAnsi="宋体" w:eastAsia="宋体" w:cs="宋体"/>
          <w:color w:val="000000" w:themeColor="text1"/>
          <w:kern w:val="0"/>
          <w:sz w:val="24"/>
          <w:szCs w:val="24"/>
          <w:lang w:val="en-US" w:eastAsia="zh-CN" w:bidi="ar"/>
          <w14:textFill>
            <w14:solidFill>
              <w14:schemeClr w14:val="tx1"/>
            </w14:solidFill>
          </w14:textFill>
        </w:rPr>
      </w:pPr>
      <w:r>
        <w:rPr>
          <w:rFonts w:hint="eastAsia" w:ascii="宋体" w:hAnsi="宋体" w:eastAsia="宋体" w:cs="宋体"/>
          <w:b/>
          <w:color w:val="FF0000"/>
          <w:sz w:val="28"/>
          <w:szCs w:val="28"/>
          <w:lang w:val="en-US" w:eastAsia="zh-CN"/>
        </w:rPr>
        <w:t>导师寄语</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right="0"/>
        <w:jc w:val="left"/>
        <w:rPr>
          <w:rFonts w:hint="default" w:ascii="Arial" w:hAnsi="Arial" w:cs="Arial"/>
          <w:b/>
          <w:i w:val="0"/>
          <w:caps w:val="0"/>
          <w:color w:val="333333"/>
          <w:spacing w:val="0"/>
          <w:sz w:val="28"/>
          <w:szCs w:val="28"/>
        </w:rPr>
      </w:pPr>
      <w:r>
        <w:rPr>
          <w:rFonts w:hint="default" w:ascii="Arial" w:hAnsi="Arial" w:cs="Arial"/>
          <w:b/>
          <w:i w:val="0"/>
          <w:caps w:val="0"/>
          <w:color w:val="333333"/>
          <w:spacing w:val="0"/>
          <w:sz w:val="28"/>
          <w:szCs w:val="28"/>
        </w:rPr>
        <w:t>股市是缩小版人生，交易是你成为真正自己的一次旅程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right="0"/>
        <w:jc w:val="left"/>
        <w:rPr>
          <w:rFonts w:hint="eastAsia" w:ascii="Arial" w:hAnsi="Arial" w:cs="Arial" w:eastAsiaTheme="minorEastAsia"/>
          <w:b/>
          <w:bCs w:val="0"/>
          <w:i w:val="0"/>
          <w:caps w:val="0"/>
          <w:color w:val="FF0000"/>
          <w:spacing w:val="0"/>
          <w:sz w:val="28"/>
          <w:szCs w:val="28"/>
          <w:lang w:val="en-US" w:eastAsia="zh-CN"/>
        </w:rPr>
      </w:pPr>
      <w:r>
        <w:rPr>
          <w:rFonts w:hint="eastAsia" w:ascii="Arial" w:hAnsi="Arial" w:cs="Arial"/>
          <w:b/>
          <w:bCs w:val="0"/>
          <w:i w:val="0"/>
          <w:caps w:val="0"/>
          <w:color w:val="FF0000"/>
          <w:spacing w:val="0"/>
          <w:sz w:val="28"/>
          <w:szCs w:val="28"/>
          <w:lang w:val="en-US" w:eastAsia="zh-CN"/>
        </w:rPr>
        <w:t>龟股军师</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不要害怕亏损，没有亏损，就没有成长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民间投资人，06年大学就已经入市，账户随着股市由牛转熊，天堂地狱走一遭后清零，开始审视自己，翻遍学校图书馆所有关于股票的书，期间迷茫无助，翻找网上帖子不曾想过放弃，终于09年账户变得有起色，关于市场越发拥有心得和感悟，我庆幸自己没有放弃，虽然过程是那样艰辛，甚至希望有个人可以带自己走出困境，但真正走出困境回头才明白，能让自己成长的只有自己， 不要害怕亏损，因为亏损，才得以成长。</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2010年大学毕业后，在百人面试中凭着自己的智慧顺利的进了一家世界500强国企，在人生得以圆满并且稳定时，发现这不是自己想要的生活，然后就辞职到了广州，和朋友开始了创业，那个时候广州小额金融贷款业务非常活跃，于是成立自己的第一间金融服务小公司，在偶然的一次年度商会活动中，结识了一些至今都很感激的私募大哥，了解到了广东多位一线游资的操盘技术与心法，所有的问题变得明朗。终于，2013年创业板大牛市环境下，通过超短涨停模式，将自己6年一直不温不火的账户打出了5倍多的佳绩。并且总结出了一套自己完整的系统，开始了全职的生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2014年将自己在股市里赚的钱以入股形式，投资给做贷款理财的好朋友，而自己依旧全身心投入股市。</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2015年成立了自己的工作室，整理自己的股市中短黄金战法（跟庄和机构操盘技术），超短线顶级游资战法。同一年，报着玩一票的心态，参加了新浪财经组织的比赛，与新浪大V同台竞技，并取得了第6名的成绩。10年磨一剑，多年金融领域的求知与实践，我目前不但有一套完整的交易系统，还懂星象星座，可以在时间窗口与星象等多个角度分析股市，别人不敢预测的，军师能得出结果。所以老股友封了“军师”这样一个称号，而宇之表无极，宙之端无穷，龟之命无终，龟是长寿的。股市里1年5倍高手满大街，5年一倍凤毛菱角，一直活下去比什么都重要，故得名：龟股军师，这个称号沿用至今。</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在股市风起云涌之际，我会问每一个来请教问题的学生，“你有没有想过或者问过自己这样一个问题，你炒的真的是股市吗？”我每每的回复总是让人无处遁形。</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造市者造势，追风者听风，今日鹊起谁家，明日花落谁亡，你以为你人生赢家，战无不克攻无不胜，几十年沧海，终是浪里淘沙；你以为处处皆命，苦苦挣扎不能苟活，命却由己造，谁人不扛着个脑袋过这场江湖；十年金融市场里闯荡，见惯了浪起与浪灭，我认为股市中即使形成了自己的交易系统，都还远远不够，还要有良好的执行力，所以往往交易到最后，会发现自己才是最大的敌人，而能让你自己所以成为自己的恰恰是你要打败那个人性的，十分人性的自己。佛家讲见自己，见天地，见众生。而我说来股市就是最好的见自己，见天地，见众生。股市是缩小版人生，交易是你成为真正自己的一次旅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4733925" cy="53340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8"/>
                    <a:stretch>
                      <a:fillRect/>
                    </a:stretch>
                  </pic:blipFill>
                  <pic:spPr>
                    <a:xfrm>
                      <a:off x="0" y="0"/>
                      <a:ext cx="4733925" cy="533400"/>
                    </a:xfrm>
                    <a:prstGeom prst="rect">
                      <a:avLst/>
                    </a:prstGeom>
                    <a:noFill/>
                    <a:ln w="9525">
                      <a:noFill/>
                    </a:ln>
                  </pic:spPr>
                </pic:pic>
              </a:graphicData>
            </a:graphic>
          </wp:inline>
        </w:drawing>
      </w:r>
    </w:p>
    <w:p>
      <w:pPr>
        <w:jc w:val="left"/>
        <w:rPr>
          <w:rFonts w:hint="eastAsia" w:ascii="宋体" w:hAnsi="宋体" w:eastAsia="宋体" w:cs="宋体"/>
          <w:b/>
          <w:bCs/>
          <w:color w:val="000000"/>
          <w:kern w:val="0"/>
          <w:sz w:val="24"/>
          <w:szCs w:val="24"/>
          <w:lang w:val="en-US" w:eastAsia="zh-CN"/>
        </w:rPr>
      </w:pPr>
      <w:r>
        <w:rPr>
          <w:rFonts w:hint="eastAsia" w:ascii="宋体" w:hAnsi="宋体" w:eastAsia="宋体" w:cs="宋体"/>
          <w:b/>
          <w:bCs/>
          <w:color w:val="000000"/>
          <w:kern w:val="0"/>
          <w:sz w:val="24"/>
          <w:szCs w:val="24"/>
          <w:lang w:val="en-US" w:eastAsia="zh-CN"/>
        </w:rPr>
        <w:t>龟股军师（巫峰）</w:t>
      </w: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新浪财经、微博、今日头条、百度百家号、疯牛财经等知名财经博主</w:t>
      </w: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12年股市实战经验职业投资人， 新浪财经网红大赛十大投资明星</w:t>
      </w: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color w:val="000000"/>
          <w:kern w:val="0"/>
          <w:sz w:val="24"/>
          <w:szCs w:val="24"/>
          <w:lang w:val="en-US" w:eastAsia="zh-CN"/>
        </w:rPr>
        <w:t>星象看市第一人</w:t>
      </w:r>
    </w:p>
    <w:p>
      <w:pPr>
        <w:jc w:val="left"/>
        <w:rPr>
          <w:rFonts w:hint="eastAsia" w:ascii="宋体" w:hAnsi="宋体" w:eastAsia="宋体" w:cs="宋体"/>
          <w:color w:val="000000"/>
          <w:kern w:val="0"/>
          <w:sz w:val="24"/>
          <w:szCs w:val="24"/>
          <w:lang w:val="en-US" w:eastAsia="zh-CN"/>
        </w:rPr>
      </w:pPr>
      <w:r>
        <w:rPr>
          <w:rFonts w:hint="eastAsia" w:ascii="宋体" w:hAnsi="宋体" w:eastAsia="宋体" w:cs="宋体"/>
          <w:b/>
          <w:bCs/>
          <w:color w:val="000000"/>
          <w:kern w:val="0"/>
          <w:sz w:val="24"/>
          <w:szCs w:val="24"/>
          <w:lang w:val="en-US" w:eastAsia="zh-CN"/>
        </w:rPr>
        <w:t>代表作：</w:t>
      </w:r>
      <w:r>
        <w:rPr>
          <w:rFonts w:hint="eastAsia" w:ascii="宋体" w:hAnsi="宋体" w:eastAsia="宋体" w:cs="宋体"/>
          <w:color w:val="000000"/>
          <w:kern w:val="0"/>
          <w:sz w:val="24"/>
          <w:szCs w:val="24"/>
          <w:lang w:val="en-US" w:eastAsia="zh-CN"/>
        </w:rPr>
        <w:t>《股市黄金战法》《从零到投资顶级高手》超短线顶级游资操盘技术</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eastAsia" w:ascii="宋体" w:hAnsi="宋体" w:eastAsia="宋体" w:cs="宋体"/>
          <w:b/>
          <w:bCs/>
          <w:color w:val="000000"/>
          <w:kern w:val="0"/>
          <w:sz w:val="24"/>
          <w:szCs w:val="24"/>
          <w:lang w:val="en-US" w:eastAsia="zh-CN"/>
        </w:rPr>
        <w:t>技术涵盖</w:t>
      </w:r>
      <w:r>
        <w:rPr>
          <w:rFonts w:hint="eastAsia" w:ascii="宋体" w:hAnsi="宋体" w:eastAsia="宋体" w:cs="宋体"/>
          <w:color w:val="000000"/>
          <w:kern w:val="0"/>
          <w:sz w:val="24"/>
          <w:szCs w:val="24"/>
          <w:lang w:val="en-US" w:eastAsia="zh-CN"/>
        </w:rPr>
        <w:t>：强庄和机构波段趋势打法；主流热点的低吸、半路、打板顶级技巧</w:t>
      </w:r>
      <w:r>
        <w:rPr>
          <w:rFonts w:hint="default" w:cs="宋体" w:asciiTheme="minorHAnsi" w:hAnsiTheme="minorHAnsi" w:eastAsiaTheme="minorEastAsia"/>
          <w:kern w:val="2"/>
          <w:sz w:val="24"/>
          <w:szCs w:val="24"/>
          <w:lang w:val="en-US" w:eastAsia="zh-CN" w:bidi="ar-SA"/>
        </w:rPr>
        <w:drawing>
          <wp:inline distT="0" distB="0" distL="114300" distR="114300">
            <wp:extent cx="4800600" cy="495300"/>
            <wp:effectExtent l="0" t="0" r="0" b="0"/>
            <wp:docPr id="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7"/>
                    <pic:cNvPicPr>
                      <a:picLocks noChangeAspect="1"/>
                    </pic:cNvPicPr>
                  </pic:nvPicPr>
                  <pic:blipFill>
                    <a:blip r:embed="rId9"/>
                    <a:stretch>
                      <a:fillRect/>
                    </a:stretch>
                  </pic:blipFill>
                  <pic:spPr>
                    <a:xfrm>
                      <a:off x="0" y="0"/>
                      <a:ext cx="4800600" cy="4953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​​2017年6月 首次全网公开星象与A股预测的研究成果，提前半年精准预判了未来的走势，准确率90%</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2017年6月3号发出半年到12月预测观点记录如下：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5400675" cy="6173470"/>
            <wp:effectExtent l="0" t="0" r="9525" b="13970"/>
            <wp:docPr id="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IMG_258"/>
                    <pic:cNvPicPr>
                      <a:picLocks noChangeAspect="1"/>
                    </pic:cNvPicPr>
                  </pic:nvPicPr>
                  <pic:blipFill>
                    <a:blip r:embed="rId10"/>
                    <a:stretch>
                      <a:fillRect/>
                    </a:stretch>
                  </pic:blipFill>
                  <pic:spPr>
                    <a:xfrm>
                      <a:off x="0" y="0"/>
                      <a:ext cx="5400675" cy="617347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5990590" cy="3733165"/>
            <wp:effectExtent l="0" t="0" r="13970" b="635"/>
            <wp:docPr id="5"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259"/>
                    <pic:cNvPicPr>
                      <a:picLocks noChangeAspect="1"/>
                    </pic:cNvPicPr>
                  </pic:nvPicPr>
                  <pic:blipFill>
                    <a:blip r:embed="rId11"/>
                    <a:stretch>
                      <a:fillRect/>
                    </a:stretch>
                  </pic:blipFill>
                  <pic:spPr>
                    <a:xfrm>
                      <a:off x="0" y="0"/>
                      <a:ext cx="5990590" cy="373316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2017年12月26号直播做了第2次 关于元旦后的预测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both"/>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6381750" cy="4237355"/>
            <wp:effectExtent l="0" t="0" r="0" b="1079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12"/>
                    <a:stretch>
                      <a:fillRect/>
                    </a:stretch>
                  </pic:blipFill>
                  <pic:spPr>
                    <a:xfrm>
                      <a:off x="0" y="0"/>
                      <a:ext cx="6381750" cy="423735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​元旦如期大涨之后做了第三次 预测记录如下：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6164580" cy="3679825"/>
            <wp:effectExtent l="0" t="0" r="7620" b="8255"/>
            <wp:docPr id="8"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61"/>
                    <pic:cNvPicPr>
                      <a:picLocks noChangeAspect="1"/>
                    </pic:cNvPicPr>
                  </pic:nvPicPr>
                  <pic:blipFill>
                    <a:blip r:embed="rId13"/>
                    <a:stretch>
                      <a:fillRect/>
                    </a:stretch>
                  </pic:blipFill>
                  <pic:spPr>
                    <a:xfrm>
                      <a:off x="0" y="0"/>
                      <a:ext cx="6164580" cy="36798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5534025" cy="4247515"/>
            <wp:effectExtent l="0" t="0" r="9525" b="635"/>
            <wp:docPr id="9"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IMG_262"/>
                    <pic:cNvPicPr>
                      <a:picLocks noChangeAspect="1"/>
                    </pic:cNvPicPr>
                  </pic:nvPicPr>
                  <pic:blipFill>
                    <a:blip r:embed="rId14"/>
                    <a:stretch>
                      <a:fillRect/>
                    </a:stretch>
                  </pic:blipFill>
                  <pic:spPr>
                    <a:xfrm>
                      <a:off x="0" y="0"/>
                      <a:ext cx="5534025" cy="424751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3695700" cy="920750"/>
            <wp:effectExtent l="0" t="0" r="0" b="12700"/>
            <wp:docPr id="13"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IMG_263"/>
                    <pic:cNvPicPr>
                      <a:picLocks noChangeAspect="1"/>
                    </pic:cNvPicPr>
                  </pic:nvPicPr>
                  <pic:blipFill>
                    <a:blip r:embed="rId15"/>
                    <a:stretch>
                      <a:fillRect/>
                    </a:stretch>
                  </pic:blipFill>
                  <pic:spPr>
                    <a:xfrm>
                      <a:off x="0" y="0"/>
                      <a:ext cx="3695700" cy="9207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4848225" cy="1331595"/>
            <wp:effectExtent l="0" t="0" r="9525" b="1905"/>
            <wp:docPr id="14"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IMG_264"/>
                    <pic:cNvPicPr>
                      <a:picLocks noChangeAspect="1"/>
                    </pic:cNvPicPr>
                  </pic:nvPicPr>
                  <pic:blipFill>
                    <a:blip r:embed="rId16"/>
                    <a:stretch>
                      <a:fillRect/>
                    </a:stretch>
                  </pic:blipFill>
                  <pic:spPr>
                    <a:xfrm>
                      <a:off x="0" y="0"/>
                      <a:ext cx="4848225" cy="133159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2886075" cy="825500"/>
            <wp:effectExtent l="0" t="0" r="9525" b="12700"/>
            <wp:docPr id="1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IMG_265"/>
                    <pic:cNvPicPr>
                      <a:picLocks noChangeAspect="1"/>
                    </pic:cNvPicPr>
                  </pic:nvPicPr>
                  <pic:blipFill>
                    <a:blip r:embed="rId17"/>
                    <a:stretch>
                      <a:fillRect/>
                    </a:stretch>
                  </pic:blipFill>
                  <pic:spPr>
                    <a:xfrm>
                      <a:off x="0" y="0"/>
                      <a:ext cx="2886075" cy="8255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4419600" cy="695325"/>
            <wp:effectExtent l="0" t="0" r="0" b="9525"/>
            <wp:docPr id="16"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descr="IMG_266"/>
                    <pic:cNvPicPr>
                      <a:picLocks noChangeAspect="1"/>
                    </pic:cNvPicPr>
                  </pic:nvPicPr>
                  <pic:blipFill>
                    <a:blip r:embed="rId18"/>
                    <a:stretch>
                      <a:fillRect/>
                    </a:stretch>
                  </pic:blipFill>
                  <pic:spPr>
                    <a:xfrm>
                      <a:off x="0" y="0"/>
                      <a:ext cx="4419600" cy="6953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6198870" cy="2800985"/>
            <wp:effectExtent l="0" t="0" r="11430" b="18415"/>
            <wp:docPr id="17"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IMG_267"/>
                    <pic:cNvPicPr>
                      <a:picLocks noChangeAspect="1"/>
                    </pic:cNvPicPr>
                  </pic:nvPicPr>
                  <pic:blipFill>
                    <a:blip r:embed="rId19"/>
                    <a:stretch>
                      <a:fillRect/>
                    </a:stretch>
                  </pic:blipFill>
                  <pic:spPr>
                    <a:xfrm>
                      <a:off x="0" y="0"/>
                      <a:ext cx="6198870" cy="280098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当然在未正式，全网公开预测之前，对于​2015年股灾期间也提前做了精准的预判</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3086100" cy="771525"/>
            <wp:effectExtent l="0" t="0" r="0" b="9525"/>
            <wp:docPr id="18"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268"/>
                    <pic:cNvPicPr>
                      <a:picLocks noChangeAspect="1"/>
                    </pic:cNvPicPr>
                  </pic:nvPicPr>
                  <pic:blipFill>
                    <a:blip r:embed="rId20"/>
                    <a:stretch>
                      <a:fillRect/>
                    </a:stretch>
                  </pic:blipFill>
                  <pic:spPr>
                    <a:xfrm>
                      <a:off x="0" y="0"/>
                      <a:ext cx="3086100" cy="7715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4429125" cy="1152525"/>
            <wp:effectExtent l="0" t="0" r="9525" b="9525"/>
            <wp:docPr id="20"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IMG_269"/>
                    <pic:cNvPicPr>
                      <a:picLocks noChangeAspect="1"/>
                    </pic:cNvPicPr>
                  </pic:nvPicPr>
                  <pic:blipFill>
                    <a:blip r:embed="rId21"/>
                    <a:stretch>
                      <a:fillRect/>
                    </a:stretch>
                  </pic:blipFill>
                  <pic:spPr>
                    <a:xfrm>
                      <a:off x="0" y="0"/>
                      <a:ext cx="4429125" cy="11525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3086100" cy="809625"/>
            <wp:effectExtent l="0" t="0" r="0" b="9525"/>
            <wp:docPr id="21"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IMG_270"/>
                    <pic:cNvPicPr>
                      <a:picLocks noChangeAspect="1"/>
                    </pic:cNvPicPr>
                  </pic:nvPicPr>
                  <pic:blipFill>
                    <a:blip r:embed="rId22"/>
                    <a:stretch>
                      <a:fillRect/>
                    </a:stretch>
                  </pic:blipFill>
                  <pic:spPr>
                    <a:xfrm>
                      <a:off x="0" y="0"/>
                      <a:ext cx="3086100" cy="80962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3876675" cy="838200"/>
            <wp:effectExtent l="0" t="0" r="9525" b="0"/>
            <wp:docPr id="22"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IMG_271"/>
                    <pic:cNvPicPr>
                      <a:picLocks noChangeAspect="1"/>
                    </pic:cNvPicPr>
                  </pic:nvPicPr>
                  <pic:blipFill>
                    <a:blip r:embed="rId23"/>
                    <a:stretch>
                      <a:fillRect/>
                    </a:stretch>
                  </pic:blipFill>
                  <pic:spPr>
                    <a:xfrm>
                      <a:off x="0" y="0"/>
                      <a:ext cx="3876675" cy="8382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4105275" cy="828675"/>
            <wp:effectExtent l="0" t="0" r="9525" b="9525"/>
            <wp:docPr id="23"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IMG_272"/>
                    <pic:cNvPicPr>
                      <a:picLocks noChangeAspect="1"/>
                    </pic:cNvPicPr>
                  </pic:nvPicPr>
                  <pic:blipFill>
                    <a:blip r:embed="rId24"/>
                    <a:stretch>
                      <a:fillRect/>
                    </a:stretch>
                  </pic:blipFill>
                  <pic:spPr>
                    <a:xfrm>
                      <a:off x="0" y="0"/>
                      <a:ext cx="4105275" cy="8286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6172200" cy="3365500"/>
            <wp:effectExtent l="0" t="0" r="0" b="6350"/>
            <wp:docPr id="2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IMG_273"/>
                    <pic:cNvPicPr>
                      <a:picLocks noChangeAspect="1"/>
                    </pic:cNvPicPr>
                  </pic:nvPicPr>
                  <pic:blipFill>
                    <a:blip r:embed="rId25"/>
                    <a:stretch>
                      <a:fillRect/>
                    </a:stretch>
                  </pic:blipFill>
                  <pic:spPr>
                    <a:xfrm>
                      <a:off x="0" y="0"/>
                      <a:ext cx="6172200" cy="336550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​关于星象和股市预测的历史观点还有很多很多，就不再一一列举. 这是一个全新甚至是对你们三观都会造成巨大冲击的研究。非主流派系，A股的未来会怎么样？陆续关注我们研究的成果，我们会尽一切人力、财力站上空间的另一个维度去洞悉A股和全球市场。</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5076825" cy="485775"/>
            <wp:effectExtent l="0" t="0" r="9525" b="9525"/>
            <wp:docPr id="25"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IMG_274"/>
                    <pic:cNvPicPr>
                      <a:picLocks noChangeAspect="1"/>
                    </pic:cNvPicPr>
                  </pic:nvPicPr>
                  <pic:blipFill>
                    <a:blip r:embed="rId26"/>
                    <a:stretch>
                      <a:fillRect/>
                    </a:stretch>
                  </pic:blipFill>
                  <pic:spPr>
                    <a:xfrm>
                      <a:off x="0" y="0"/>
                      <a:ext cx="5076825" cy="485775"/>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近2年来顶着风险在微博和直播里，推荐过很多只中线股，后期表现都很稳健。尤其16年最猛的华北高速（现在已合并招商）​重组复牌+雄安盈利50%  17年最猛的地产阳光城2个月50%。选股的方法和逻辑在直播也讲过无数次。</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2018年 2月14日第一次尝试短线稳健股分享，做直播以来一直认为：如果没有经过训练的散户，就算推荐短线股也难跟上节奏，好股做亏。因为短线变化快，心态容易崩，这次尝试果然如此。</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分享了24只，实战中有机会成交的股16只。如果按照制定的仓位、买卖策略做，是可以全部盈利的，但实际跟上节奏的人30%都不到</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本可以盈利出局但搞得亏损的问题主要如下：</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1.说好的仓位分散124或333分批低吸，结果觉得价格便宜满仓干，导致有低点没仓位加</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2.说好的买1~2只，结果一下买3~5只，导致有低点没仓位加仓</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3.说好的回调缩量不怕，持股，结果套了2.3天不涨就割了，导致割完就涨停，心态崩了</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4.说好的价位可以补仓做T，结果不敢下手，导致成本还是很高，别人赚钱他还套着。</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5.说好的超短线，赚钱了分时拉不动就卖，卖飞就算了，结果有人赚钱不舍得走，导致过山车</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问题还有很多~~~  真心觉得 没有培训太难带动，亏钱了还造成误会，伤了感情，难搞。</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drawing>
          <wp:inline distT="0" distB="0" distL="114300" distR="114300">
            <wp:extent cx="6087110" cy="4591050"/>
            <wp:effectExtent l="0" t="0" r="8890" b="11430"/>
            <wp:docPr id="26"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IMG_275"/>
                    <pic:cNvPicPr>
                      <a:picLocks noChangeAspect="1"/>
                    </pic:cNvPicPr>
                  </pic:nvPicPr>
                  <pic:blipFill>
                    <a:blip r:embed="rId27"/>
                    <a:stretch>
                      <a:fillRect/>
                    </a:stretch>
                  </pic:blipFill>
                  <pic:spPr>
                    <a:xfrm>
                      <a:off x="0" y="0"/>
                      <a:ext cx="6087110" cy="4591050"/>
                    </a:xfrm>
                    <a:prstGeom prst="rect">
                      <a:avLst/>
                    </a:prstGeom>
                    <a:noFill/>
                    <a:ln w="9525">
                      <a:noFill/>
                    </a:ln>
                  </pic:spPr>
                </pic:pic>
              </a:graphicData>
            </a:graphic>
          </wp:inline>
        </w:drawing>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default"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​天下风云出我辈，一入江湖岁月催；皇图霸业谈笑中，不胜人生一场醉。</w:t>
      </w:r>
    </w:p>
    <w:p>
      <w:pPr>
        <w:pStyle w:val="5"/>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92" w:afterAutospacing="0" w:line="240" w:lineRule="auto"/>
        <w:ind w:left="0" w:right="0" w:firstLine="0"/>
        <w:jc w:val="left"/>
        <w:rPr>
          <w:rFonts w:hint="eastAsia" w:cs="宋体" w:asciiTheme="minorHAnsi" w:hAnsiTheme="minorHAnsi" w:eastAsiaTheme="minorEastAsia"/>
          <w:kern w:val="2"/>
          <w:sz w:val="24"/>
          <w:szCs w:val="24"/>
          <w:lang w:val="en-US" w:eastAsia="zh-CN" w:bidi="ar-SA"/>
        </w:rPr>
      </w:pPr>
      <w:r>
        <w:rPr>
          <w:rFonts w:hint="default" w:cs="宋体" w:asciiTheme="minorHAnsi" w:hAnsiTheme="minorHAnsi" w:eastAsiaTheme="minorEastAsia"/>
          <w:kern w:val="2"/>
          <w:sz w:val="24"/>
          <w:szCs w:val="24"/>
          <w:lang w:val="en-US" w:eastAsia="zh-CN" w:bidi="ar-SA"/>
        </w:rPr>
        <w:t>股市是缩小版人生，交易是你成为真正自己的一次旅程，愿未来的旅程里，龟股堂的所有战友能顺风顺水，如愿圆梦.</w:t>
      </w:r>
    </w:p>
    <w:sectPr>
      <w:headerReference r:id="rId3" w:type="default"/>
      <w:footerReference r:id="rId4" w:type="default"/>
      <w:type w:val="continuous"/>
      <w:pgSz w:w="11906" w:h="16838"/>
      <w:pgMar w:top="1440" w:right="1080" w:bottom="1440" w:left="108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华文新魏">
    <w:altName w:val="宋体"/>
    <w:panose1 w:val="02010800040101010101"/>
    <w:charset w:val="86"/>
    <w:family w:val="auto"/>
    <w:pitch w:val="default"/>
    <w:sig w:usb0="00000000" w:usb1="00000000" w:usb2="00000000" w:usb3="00000000" w:csb0="00040000" w:csb1="00000000"/>
  </w:font>
  <w:font w:name="方正大黑简体">
    <w:altName w:val="黑体"/>
    <w:panose1 w:val="03000509000000000000"/>
    <w:charset w:val="86"/>
    <w:family w:val="auto"/>
    <w:pitch w:val="default"/>
    <w:sig w:usb0="00000000" w:usb1="00000000" w:usb2="00000000" w:usb3="00000000" w:csb0="00040000"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rPr>
        <w:color w:val="FF0000"/>
      </w:rPr>
    </w:pPr>
    <w:r>
      <w:rPr>
        <w:rFonts w:hint="eastAsia"/>
        <w:color w:val="FF0000"/>
        <w:lang w:eastAsia="zh-CN"/>
      </w:rPr>
      <w:t>投资有风险，入市需谨慎，教学所涉个股，不构成投资建议，盈亏自负。</w:t>
    </w:r>
    <w:r>
      <w:rPr>
        <w:rFonts w:hint="eastAsia"/>
        <w:color w:val="FF0000"/>
        <w:lang w:val="en-US" w:eastAsia="zh-CN"/>
      </w:rPr>
      <w:t xml:space="preserve">  执业资质：S0360417050041</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right"/>
      <w:rPr>
        <w:rFonts w:hint="eastAsia" w:eastAsiaTheme="minorEastAsia"/>
        <w:b/>
        <w:bCs/>
        <w:sz w:val="24"/>
        <w:szCs w:val="40"/>
        <w:lang w:val="en-US" w:eastAsia="zh-CN"/>
      </w:rPr>
    </w:pPr>
    <w:r>
      <w:rPr>
        <w:rFonts w:hint="eastAsia"/>
        <w:b/>
        <w:bCs/>
        <w:sz w:val="24"/>
        <w:szCs w:val="40"/>
        <w:lang w:val="en-US" w:eastAsia="zh-CN"/>
      </w:rPr>
      <w:t>投资有风险，入市需谨慎，不保本，不承诺收益。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4539F0"/>
    <w:multiLevelType w:val="singleLevel"/>
    <w:tmpl w:val="394539F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C280896"/>
    <w:rsid w:val="001B6B0C"/>
    <w:rsid w:val="001E01AC"/>
    <w:rsid w:val="00247EDE"/>
    <w:rsid w:val="002C7605"/>
    <w:rsid w:val="003F6105"/>
    <w:rsid w:val="0044030B"/>
    <w:rsid w:val="00457FB8"/>
    <w:rsid w:val="00681C44"/>
    <w:rsid w:val="00885B19"/>
    <w:rsid w:val="00915F2F"/>
    <w:rsid w:val="009E72B5"/>
    <w:rsid w:val="00A82B06"/>
    <w:rsid w:val="00B93B76"/>
    <w:rsid w:val="00BF5BB0"/>
    <w:rsid w:val="00F90820"/>
    <w:rsid w:val="01020886"/>
    <w:rsid w:val="01145938"/>
    <w:rsid w:val="021777DF"/>
    <w:rsid w:val="02C25DD5"/>
    <w:rsid w:val="02D83974"/>
    <w:rsid w:val="0332672C"/>
    <w:rsid w:val="033466E5"/>
    <w:rsid w:val="035E322F"/>
    <w:rsid w:val="039E1448"/>
    <w:rsid w:val="044412AD"/>
    <w:rsid w:val="047E43BF"/>
    <w:rsid w:val="04C64DFC"/>
    <w:rsid w:val="05685AA2"/>
    <w:rsid w:val="075B59AD"/>
    <w:rsid w:val="0765193B"/>
    <w:rsid w:val="07704971"/>
    <w:rsid w:val="07F429F7"/>
    <w:rsid w:val="089F5E95"/>
    <w:rsid w:val="08EF55CF"/>
    <w:rsid w:val="08F36480"/>
    <w:rsid w:val="093A06A7"/>
    <w:rsid w:val="09B049E3"/>
    <w:rsid w:val="09E94439"/>
    <w:rsid w:val="09F633A3"/>
    <w:rsid w:val="0A2F2146"/>
    <w:rsid w:val="0A5E703E"/>
    <w:rsid w:val="0A6314D2"/>
    <w:rsid w:val="0B5B63E5"/>
    <w:rsid w:val="0C6400A1"/>
    <w:rsid w:val="0D573DCB"/>
    <w:rsid w:val="0DD2032F"/>
    <w:rsid w:val="0EF257BD"/>
    <w:rsid w:val="0F0575A7"/>
    <w:rsid w:val="0F962391"/>
    <w:rsid w:val="0FB12E70"/>
    <w:rsid w:val="10222008"/>
    <w:rsid w:val="10275198"/>
    <w:rsid w:val="10393BA8"/>
    <w:rsid w:val="10490BCF"/>
    <w:rsid w:val="10523CCB"/>
    <w:rsid w:val="116E4880"/>
    <w:rsid w:val="118017C1"/>
    <w:rsid w:val="11A804F4"/>
    <w:rsid w:val="11B23565"/>
    <w:rsid w:val="11B265BB"/>
    <w:rsid w:val="11F91F9B"/>
    <w:rsid w:val="12137594"/>
    <w:rsid w:val="125A6CF5"/>
    <w:rsid w:val="12722E90"/>
    <w:rsid w:val="12855965"/>
    <w:rsid w:val="12E47CEC"/>
    <w:rsid w:val="12EE3D6D"/>
    <w:rsid w:val="12F163F3"/>
    <w:rsid w:val="1378181E"/>
    <w:rsid w:val="138B5FB5"/>
    <w:rsid w:val="147E0768"/>
    <w:rsid w:val="158E2413"/>
    <w:rsid w:val="15C8733D"/>
    <w:rsid w:val="15DF7240"/>
    <w:rsid w:val="16033411"/>
    <w:rsid w:val="160B41A4"/>
    <w:rsid w:val="16D54010"/>
    <w:rsid w:val="171E3BE5"/>
    <w:rsid w:val="17204A63"/>
    <w:rsid w:val="17B46892"/>
    <w:rsid w:val="1802612F"/>
    <w:rsid w:val="193C04D4"/>
    <w:rsid w:val="199700E2"/>
    <w:rsid w:val="19D135A9"/>
    <w:rsid w:val="19D61E20"/>
    <w:rsid w:val="1A5707D6"/>
    <w:rsid w:val="1A800934"/>
    <w:rsid w:val="1A9C6DD2"/>
    <w:rsid w:val="1AD152BC"/>
    <w:rsid w:val="1B2969EA"/>
    <w:rsid w:val="1B3C56BF"/>
    <w:rsid w:val="1B8712B8"/>
    <w:rsid w:val="1C192147"/>
    <w:rsid w:val="1C280896"/>
    <w:rsid w:val="1CC37563"/>
    <w:rsid w:val="1CD87387"/>
    <w:rsid w:val="1DA50F3B"/>
    <w:rsid w:val="1DCC6CEC"/>
    <w:rsid w:val="1DD934DD"/>
    <w:rsid w:val="1E4556A2"/>
    <w:rsid w:val="1EBB775F"/>
    <w:rsid w:val="1F6E7548"/>
    <w:rsid w:val="1F7B4001"/>
    <w:rsid w:val="20414298"/>
    <w:rsid w:val="216C3B78"/>
    <w:rsid w:val="217D12D0"/>
    <w:rsid w:val="22176E3F"/>
    <w:rsid w:val="222861E1"/>
    <w:rsid w:val="22F942E3"/>
    <w:rsid w:val="23F57871"/>
    <w:rsid w:val="23F74668"/>
    <w:rsid w:val="241427FC"/>
    <w:rsid w:val="24BE7EA5"/>
    <w:rsid w:val="25620F6F"/>
    <w:rsid w:val="260107C2"/>
    <w:rsid w:val="26D85338"/>
    <w:rsid w:val="27321FCF"/>
    <w:rsid w:val="278A1F5C"/>
    <w:rsid w:val="27A43859"/>
    <w:rsid w:val="281900EC"/>
    <w:rsid w:val="28C5086E"/>
    <w:rsid w:val="292D27A6"/>
    <w:rsid w:val="2A0911A0"/>
    <w:rsid w:val="2A940673"/>
    <w:rsid w:val="2A9A2C3C"/>
    <w:rsid w:val="2B405B52"/>
    <w:rsid w:val="2B95776A"/>
    <w:rsid w:val="2BB50D87"/>
    <w:rsid w:val="2BCB3DCF"/>
    <w:rsid w:val="2BEF79AA"/>
    <w:rsid w:val="2C3A0570"/>
    <w:rsid w:val="2CF94EEA"/>
    <w:rsid w:val="2D1577AC"/>
    <w:rsid w:val="2D2808DC"/>
    <w:rsid w:val="2D8E5EFF"/>
    <w:rsid w:val="2DD76107"/>
    <w:rsid w:val="2E047393"/>
    <w:rsid w:val="2E251648"/>
    <w:rsid w:val="2E512F17"/>
    <w:rsid w:val="2EC174E9"/>
    <w:rsid w:val="2F263FE6"/>
    <w:rsid w:val="2F7A1022"/>
    <w:rsid w:val="30BC3656"/>
    <w:rsid w:val="30F962FD"/>
    <w:rsid w:val="31A028D2"/>
    <w:rsid w:val="32001F22"/>
    <w:rsid w:val="321B1A82"/>
    <w:rsid w:val="32792748"/>
    <w:rsid w:val="32D1788A"/>
    <w:rsid w:val="331E57F9"/>
    <w:rsid w:val="33710331"/>
    <w:rsid w:val="34815288"/>
    <w:rsid w:val="34F87038"/>
    <w:rsid w:val="353158BE"/>
    <w:rsid w:val="36626866"/>
    <w:rsid w:val="3669378E"/>
    <w:rsid w:val="36BD24AE"/>
    <w:rsid w:val="3751225B"/>
    <w:rsid w:val="38CA216D"/>
    <w:rsid w:val="394359F9"/>
    <w:rsid w:val="397C54E6"/>
    <w:rsid w:val="3A6F5CC3"/>
    <w:rsid w:val="3A710FCA"/>
    <w:rsid w:val="3A99598E"/>
    <w:rsid w:val="3AAA67A3"/>
    <w:rsid w:val="3AB657F8"/>
    <w:rsid w:val="3BA85868"/>
    <w:rsid w:val="3C7A77ED"/>
    <w:rsid w:val="3CB42609"/>
    <w:rsid w:val="3D327430"/>
    <w:rsid w:val="3D984B1D"/>
    <w:rsid w:val="3DFA1F29"/>
    <w:rsid w:val="3E3D1900"/>
    <w:rsid w:val="3E5B687F"/>
    <w:rsid w:val="3E62136B"/>
    <w:rsid w:val="3EF54281"/>
    <w:rsid w:val="3F17607E"/>
    <w:rsid w:val="3F2D25B6"/>
    <w:rsid w:val="3F582E51"/>
    <w:rsid w:val="40187AB4"/>
    <w:rsid w:val="41712D5F"/>
    <w:rsid w:val="41A245E2"/>
    <w:rsid w:val="42233B9D"/>
    <w:rsid w:val="42F115D3"/>
    <w:rsid w:val="433F10C9"/>
    <w:rsid w:val="43400E87"/>
    <w:rsid w:val="448C5745"/>
    <w:rsid w:val="4565060E"/>
    <w:rsid w:val="456804AB"/>
    <w:rsid w:val="45B727C6"/>
    <w:rsid w:val="45FA2276"/>
    <w:rsid w:val="46204764"/>
    <w:rsid w:val="466101E1"/>
    <w:rsid w:val="46B261D0"/>
    <w:rsid w:val="46F33CF6"/>
    <w:rsid w:val="473B65A9"/>
    <w:rsid w:val="476C2C7A"/>
    <w:rsid w:val="47C34ECD"/>
    <w:rsid w:val="47FB17EF"/>
    <w:rsid w:val="4841575E"/>
    <w:rsid w:val="48A076E0"/>
    <w:rsid w:val="492E2A3A"/>
    <w:rsid w:val="495D0C7F"/>
    <w:rsid w:val="49974045"/>
    <w:rsid w:val="49AB439F"/>
    <w:rsid w:val="4A095B99"/>
    <w:rsid w:val="4A2E77DB"/>
    <w:rsid w:val="4A397464"/>
    <w:rsid w:val="4A43776F"/>
    <w:rsid w:val="4A4712C7"/>
    <w:rsid w:val="4AC51651"/>
    <w:rsid w:val="4B0B64A6"/>
    <w:rsid w:val="4BA73A4E"/>
    <w:rsid w:val="4BC459C9"/>
    <w:rsid w:val="4BDD652B"/>
    <w:rsid w:val="4BF60E28"/>
    <w:rsid w:val="4C0448DC"/>
    <w:rsid w:val="4C671EB1"/>
    <w:rsid w:val="4C6B3C5C"/>
    <w:rsid w:val="4CA90757"/>
    <w:rsid w:val="4D525FF1"/>
    <w:rsid w:val="4D934272"/>
    <w:rsid w:val="4E376776"/>
    <w:rsid w:val="4E59386C"/>
    <w:rsid w:val="4F5941EC"/>
    <w:rsid w:val="500E22BE"/>
    <w:rsid w:val="50B13D0C"/>
    <w:rsid w:val="50E369D9"/>
    <w:rsid w:val="51AA424E"/>
    <w:rsid w:val="5232612B"/>
    <w:rsid w:val="52413574"/>
    <w:rsid w:val="52416A02"/>
    <w:rsid w:val="52DA5D0D"/>
    <w:rsid w:val="54774223"/>
    <w:rsid w:val="54BA0AFB"/>
    <w:rsid w:val="551C5A9C"/>
    <w:rsid w:val="553107F9"/>
    <w:rsid w:val="55615CCE"/>
    <w:rsid w:val="55775991"/>
    <w:rsid w:val="559462C4"/>
    <w:rsid w:val="571F4CE2"/>
    <w:rsid w:val="576F64CE"/>
    <w:rsid w:val="57C809D8"/>
    <w:rsid w:val="57E73F93"/>
    <w:rsid w:val="58340308"/>
    <w:rsid w:val="5866278E"/>
    <w:rsid w:val="58AD078F"/>
    <w:rsid w:val="59A73A15"/>
    <w:rsid w:val="59F253AA"/>
    <w:rsid w:val="5A357B0E"/>
    <w:rsid w:val="5A82494A"/>
    <w:rsid w:val="5BCE51D6"/>
    <w:rsid w:val="5BFA4B48"/>
    <w:rsid w:val="5D647567"/>
    <w:rsid w:val="5DB03D0A"/>
    <w:rsid w:val="5DCD0044"/>
    <w:rsid w:val="5E9B23FC"/>
    <w:rsid w:val="5EE65746"/>
    <w:rsid w:val="5F9C2CF8"/>
    <w:rsid w:val="5FED014B"/>
    <w:rsid w:val="6078765A"/>
    <w:rsid w:val="60977D12"/>
    <w:rsid w:val="614E73CE"/>
    <w:rsid w:val="626E32BE"/>
    <w:rsid w:val="629F3727"/>
    <w:rsid w:val="62E96AB5"/>
    <w:rsid w:val="62FB338D"/>
    <w:rsid w:val="63582188"/>
    <w:rsid w:val="63840D9B"/>
    <w:rsid w:val="639962A5"/>
    <w:rsid w:val="63DD29BF"/>
    <w:rsid w:val="643A559C"/>
    <w:rsid w:val="64761F5B"/>
    <w:rsid w:val="64806F9D"/>
    <w:rsid w:val="64A5798A"/>
    <w:rsid w:val="64E64710"/>
    <w:rsid w:val="65F64D12"/>
    <w:rsid w:val="665C2A13"/>
    <w:rsid w:val="6781091A"/>
    <w:rsid w:val="68065F18"/>
    <w:rsid w:val="68E12E46"/>
    <w:rsid w:val="691B650A"/>
    <w:rsid w:val="697A37CF"/>
    <w:rsid w:val="69AD3F43"/>
    <w:rsid w:val="6A137770"/>
    <w:rsid w:val="6A6C1EDF"/>
    <w:rsid w:val="6AAA1F25"/>
    <w:rsid w:val="6ADD639B"/>
    <w:rsid w:val="6AF14CD7"/>
    <w:rsid w:val="6B0832C3"/>
    <w:rsid w:val="6B212282"/>
    <w:rsid w:val="6B2A11B8"/>
    <w:rsid w:val="6B2F2227"/>
    <w:rsid w:val="6B8165E3"/>
    <w:rsid w:val="6BE91305"/>
    <w:rsid w:val="6BF63109"/>
    <w:rsid w:val="6C592260"/>
    <w:rsid w:val="6C82594F"/>
    <w:rsid w:val="6CD65B0A"/>
    <w:rsid w:val="6D823BEE"/>
    <w:rsid w:val="6E1318F8"/>
    <w:rsid w:val="6E1D7054"/>
    <w:rsid w:val="6E81733F"/>
    <w:rsid w:val="6F06003B"/>
    <w:rsid w:val="6F1547CA"/>
    <w:rsid w:val="6FC653B2"/>
    <w:rsid w:val="6FC90E29"/>
    <w:rsid w:val="6FF62960"/>
    <w:rsid w:val="70256643"/>
    <w:rsid w:val="703A0EA5"/>
    <w:rsid w:val="70532D6E"/>
    <w:rsid w:val="7139395A"/>
    <w:rsid w:val="71484B9B"/>
    <w:rsid w:val="717161D4"/>
    <w:rsid w:val="71F76544"/>
    <w:rsid w:val="722F27A2"/>
    <w:rsid w:val="72D46DBB"/>
    <w:rsid w:val="73B43545"/>
    <w:rsid w:val="73CD2D7E"/>
    <w:rsid w:val="741851A5"/>
    <w:rsid w:val="74585CFB"/>
    <w:rsid w:val="74EA44FC"/>
    <w:rsid w:val="761D01EB"/>
    <w:rsid w:val="76252C33"/>
    <w:rsid w:val="76263268"/>
    <w:rsid w:val="76431E48"/>
    <w:rsid w:val="764B52CA"/>
    <w:rsid w:val="766A22F9"/>
    <w:rsid w:val="76A40B8B"/>
    <w:rsid w:val="76C3522F"/>
    <w:rsid w:val="776815F2"/>
    <w:rsid w:val="77A726F6"/>
    <w:rsid w:val="77C158BE"/>
    <w:rsid w:val="77C654FE"/>
    <w:rsid w:val="79AC6399"/>
    <w:rsid w:val="7A075BA2"/>
    <w:rsid w:val="7A4D3CB9"/>
    <w:rsid w:val="7A5A0D6A"/>
    <w:rsid w:val="7AF47F09"/>
    <w:rsid w:val="7BAC0EE8"/>
    <w:rsid w:val="7BC55854"/>
    <w:rsid w:val="7BDB4773"/>
    <w:rsid w:val="7BF52027"/>
    <w:rsid w:val="7C371A55"/>
    <w:rsid w:val="7CAA0FAA"/>
    <w:rsid w:val="7CD52434"/>
    <w:rsid w:val="7D82397B"/>
    <w:rsid w:val="7DE57461"/>
    <w:rsid w:val="7E3B490A"/>
    <w:rsid w:val="7F357AC1"/>
    <w:rsid w:val="7F4025B3"/>
    <w:rsid w:val="7FDA13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unhideWhenUsed/>
    <w:qFormat/>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Hyperlink"/>
    <w:basedOn w:val="6"/>
    <w:uiPriority w:val="0"/>
    <w:rPr>
      <w:color w:val="0000FF"/>
      <w:u w:val="single"/>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0">
    <w:name w:val="135brush"/>
    <w:basedOn w:val="6"/>
    <w:qFormat/>
    <w:uiPriority w:val="0"/>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5</Pages>
  <Words>491</Words>
  <Characters>2799</Characters>
  <Lines>23</Lines>
  <Paragraphs>6</Paragraphs>
  <ScaleCrop>false</ScaleCrop>
  <LinksUpToDate>false</LinksUpToDate>
  <CharactersWithSpaces>3284</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2017-04-12T12:01:00Z</dcterms:created>
  <dc:creator>Administrator</dc:creator>
  <cp:lastModifiedBy>Administrator</cp:lastModifiedBy>
  <dcterms:modified xsi:type="dcterms:W3CDTF">2018-05-08T07:16:57Z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